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62D16" w14:textId="77777777" w:rsidR="00A50F2C" w:rsidRPr="00B6509D" w:rsidRDefault="00022B3A"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rPr>
          <w:rFonts w:cs="Arial"/>
          <w:sz w:val="22"/>
          <w:szCs w:val="22"/>
        </w:rPr>
      </w:pPr>
      <w:r w:rsidRPr="00B6509D">
        <w:rPr>
          <w:rFonts w:cs="Arial"/>
          <w:noProof/>
          <w:sz w:val="22"/>
          <w:szCs w:val="22"/>
          <w:lang w:val="en-US" w:eastAsia="en-US"/>
        </w:rPr>
        <w:drawing>
          <wp:inline distT="0" distB="0" distL="0" distR="0" wp14:anchorId="3AC4205B" wp14:editId="111A0CF1">
            <wp:extent cx="990600" cy="990600"/>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990600" cy="990600"/>
                    </a:xfrm>
                    <a:prstGeom prst="rect">
                      <a:avLst/>
                    </a:prstGeom>
                    <a:noFill/>
                    <a:ln w="9525">
                      <a:noFill/>
                      <a:miter lim="800000"/>
                      <a:headEnd/>
                      <a:tailEnd/>
                    </a:ln>
                  </pic:spPr>
                </pic:pic>
              </a:graphicData>
            </a:graphic>
          </wp:inline>
        </w:drawing>
      </w:r>
    </w:p>
    <w:p w14:paraId="084C9D41" w14:textId="77777777" w:rsidR="00A50F2C" w:rsidRPr="00B6509D" w:rsidRDefault="00A50F2C"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rPr>
          <w:rFonts w:cs="Arial"/>
          <w:sz w:val="22"/>
          <w:szCs w:val="22"/>
        </w:rPr>
      </w:pPr>
    </w:p>
    <w:p w14:paraId="7E398E8A" w14:textId="77777777" w:rsidR="00A50F2C" w:rsidRPr="00B6509D" w:rsidRDefault="00A50F2C"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rPr>
          <w:rFonts w:cs="Arial"/>
          <w:sz w:val="22"/>
          <w:szCs w:val="22"/>
        </w:rPr>
      </w:pPr>
    </w:p>
    <w:p w14:paraId="011E52BA" w14:textId="77777777" w:rsidR="002C3EB9" w:rsidRPr="00B6509D" w:rsidRDefault="002C3EB9"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jc w:val="right"/>
        <w:outlineLvl w:val="0"/>
        <w:rPr>
          <w:rFonts w:cs="Arial"/>
          <w:sz w:val="22"/>
          <w:szCs w:val="22"/>
          <w:lang w:val="en-US"/>
        </w:rPr>
      </w:pPr>
    </w:p>
    <w:p w14:paraId="0358502A" w14:textId="77777777" w:rsidR="00182767" w:rsidRPr="00B6509D" w:rsidRDefault="00182767"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outlineLvl w:val="0"/>
        <w:rPr>
          <w:rFonts w:cs="Arial"/>
          <w:b w:val="0"/>
          <w:sz w:val="22"/>
          <w:szCs w:val="22"/>
          <w:lang w:val="en-US"/>
        </w:rPr>
      </w:pPr>
    </w:p>
    <w:p w14:paraId="6E07FD46" w14:textId="77777777" w:rsidR="00A50F2C" w:rsidRPr="00B6509D" w:rsidRDefault="00A50F2C"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rPr>
          <w:rFonts w:cs="Arial"/>
          <w:sz w:val="22"/>
          <w:szCs w:val="22"/>
          <w:lang w:val="en-US"/>
        </w:rPr>
      </w:pPr>
    </w:p>
    <w:p w14:paraId="438C5D99" w14:textId="77777777" w:rsidR="007E571A" w:rsidRPr="00B6509D" w:rsidRDefault="007E571A"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jc w:val="left"/>
        <w:rPr>
          <w:rFonts w:cs="Arial"/>
          <w:sz w:val="22"/>
          <w:szCs w:val="22"/>
          <w:lang w:val="en-US"/>
        </w:rPr>
      </w:pPr>
    </w:p>
    <w:p w14:paraId="7AEF9836" w14:textId="77777777" w:rsidR="00991FFE" w:rsidRPr="00B6509D" w:rsidRDefault="00991FFE"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jc w:val="left"/>
        <w:rPr>
          <w:rFonts w:cs="Arial"/>
          <w:sz w:val="22"/>
          <w:szCs w:val="22"/>
          <w:lang w:val="en-US"/>
        </w:rPr>
      </w:pPr>
    </w:p>
    <w:p w14:paraId="54AF4375" w14:textId="77777777" w:rsidR="00991FFE" w:rsidRPr="00B6509D" w:rsidRDefault="00991FFE"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jc w:val="left"/>
        <w:rPr>
          <w:rFonts w:cs="Arial"/>
          <w:sz w:val="22"/>
          <w:szCs w:val="22"/>
          <w:lang w:val="en-US"/>
        </w:rPr>
      </w:pPr>
    </w:p>
    <w:p w14:paraId="62BBB273" w14:textId="77777777" w:rsidR="00991FFE" w:rsidRPr="00B6509D" w:rsidRDefault="00991FFE"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jc w:val="left"/>
        <w:rPr>
          <w:rFonts w:cs="Arial"/>
          <w:sz w:val="22"/>
          <w:szCs w:val="22"/>
          <w:lang w:val="en-US"/>
        </w:rPr>
      </w:pPr>
    </w:p>
    <w:p w14:paraId="55B9C28A" w14:textId="77777777" w:rsidR="00991FFE" w:rsidRPr="00B6509D" w:rsidRDefault="00991FFE"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jc w:val="left"/>
        <w:rPr>
          <w:rFonts w:cs="Arial"/>
          <w:sz w:val="22"/>
          <w:szCs w:val="22"/>
          <w:lang w:val="en-US"/>
        </w:rPr>
      </w:pPr>
    </w:p>
    <w:p w14:paraId="5268FD07" w14:textId="77777777" w:rsidR="00A50F2C" w:rsidRPr="00B6509D" w:rsidRDefault="00A50F2C"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outlineLvl w:val="0"/>
        <w:rPr>
          <w:rFonts w:cs="Arial"/>
          <w:b w:val="0"/>
          <w:bCs w:val="0"/>
          <w:sz w:val="22"/>
          <w:szCs w:val="22"/>
          <w:lang w:val="en-US"/>
        </w:rPr>
      </w:pPr>
    </w:p>
    <w:p w14:paraId="20BFC7AB" w14:textId="77777777" w:rsidR="00991FFE" w:rsidRPr="00B6509D" w:rsidRDefault="00991FFE"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outlineLvl w:val="0"/>
        <w:rPr>
          <w:rFonts w:cs="Arial"/>
          <w:b w:val="0"/>
          <w:bCs w:val="0"/>
          <w:sz w:val="22"/>
          <w:szCs w:val="22"/>
          <w:lang w:val="en-US"/>
        </w:rPr>
      </w:pPr>
    </w:p>
    <w:p w14:paraId="2BEC2484" w14:textId="77777777" w:rsidR="00A50F2C" w:rsidRPr="00B6509D" w:rsidRDefault="00A50F2C"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outlineLvl w:val="0"/>
        <w:rPr>
          <w:rFonts w:cs="Arial"/>
          <w:b w:val="0"/>
          <w:bCs w:val="0"/>
          <w:sz w:val="22"/>
          <w:szCs w:val="22"/>
          <w:lang w:val="en-US"/>
        </w:rPr>
      </w:pPr>
    </w:p>
    <w:p w14:paraId="1D41B306" w14:textId="0956944D" w:rsidR="00A50F2C" w:rsidRDefault="002C3EB9"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outlineLvl w:val="0"/>
        <w:rPr>
          <w:rFonts w:cs="Arial"/>
          <w:sz w:val="22"/>
          <w:szCs w:val="22"/>
          <w:lang w:val="en-US"/>
        </w:rPr>
      </w:pPr>
      <w:bookmarkStart w:id="0" w:name="_Toc70259396"/>
      <w:bookmarkStart w:id="1" w:name="_Toc70259992"/>
      <w:bookmarkStart w:id="2" w:name="_Toc70260388"/>
      <w:bookmarkStart w:id="3" w:name="_Toc70943212"/>
      <w:r w:rsidRPr="00B6509D">
        <w:rPr>
          <w:rFonts w:cs="Arial"/>
          <w:sz w:val="22"/>
          <w:szCs w:val="22"/>
          <w:lang w:val="en-US"/>
        </w:rPr>
        <w:t>MACROECONOMIC DEVELOPMENTS IN COMESA REGION</w:t>
      </w:r>
      <w:r w:rsidR="00B14CAE" w:rsidRPr="00B6509D">
        <w:rPr>
          <w:rFonts w:cs="Arial"/>
          <w:sz w:val="22"/>
          <w:szCs w:val="22"/>
          <w:lang w:val="en-US"/>
        </w:rPr>
        <w:t xml:space="preserve"> IN 20</w:t>
      </w:r>
      <w:r w:rsidR="00A44BBB">
        <w:rPr>
          <w:rFonts w:cs="Arial"/>
          <w:sz w:val="22"/>
          <w:szCs w:val="22"/>
          <w:lang w:val="en-US"/>
        </w:rPr>
        <w:t>20</w:t>
      </w:r>
      <w:bookmarkEnd w:id="0"/>
      <w:bookmarkEnd w:id="1"/>
      <w:bookmarkEnd w:id="2"/>
      <w:bookmarkEnd w:id="3"/>
    </w:p>
    <w:p w14:paraId="1A2FA5A7" w14:textId="77777777" w:rsidR="00A44BBB" w:rsidRDefault="00A44BBB"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outlineLvl w:val="0"/>
        <w:rPr>
          <w:rFonts w:cs="Arial"/>
          <w:sz w:val="22"/>
          <w:szCs w:val="22"/>
          <w:lang w:val="en-US"/>
        </w:rPr>
      </w:pPr>
    </w:p>
    <w:p w14:paraId="6C932E75" w14:textId="77777777" w:rsidR="00A44BBB" w:rsidRDefault="00A44BBB"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outlineLvl w:val="0"/>
        <w:rPr>
          <w:rFonts w:cs="Arial"/>
          <w:sz w:val="22"/>
          <w:szCs w:val="22"/>
          <w:lang w:val="en-US"/>
        </w:rPr>
      </w:pPr>
    </w:p>
    <w:p w14:paraId="3859130D" w14:textId="77777777" w:rsidR="00A44BBB" w:rsidRDefault="00A44BBB"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outlineLvl w:val="0"/>
        <w:rPr>
          <w:rFonts w:cs="Arial"/>
          <w:sz w:val="22"/>
          <w:szCs w:val="22"/>
          <w:lang w:val="en-US"/>
        </w:rPr>
      </w:pPr>
    </w:p>
    <w:p w14:paraId="4D68A803" w14:textId="77777777" w:rsidR="00A44BBB" w:rsidRDefault="00A44BBB"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outlineLvl w:val="0"/>
        <w:rPr>
          <w:rFonts w:cs="Arial"/>
          <w:sz w:val="22"/>
          <w:szCs w:val="22"/>
          <w:lang w:val="en-US"/>
        </w:rPr>
      </w:pPr>
    </w:p>
    <w:p w14:paraId="7C7DA333" w14:textId="4C3CA3E7" w:rsidR="00754D3A" w:rsidRPr="00B6509D" w:rsidRDefault="00754D3A"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outlineLvl w:val="0"/>
        <w:rPr>
          <w:rFonts w:cs="Arial"/>
          <w:sz w:val="22"/>
          <w:szCs w:val="22"/>
          <w:lang w:val="en-US"/>
        </w:rPr>
      </w:pPr>
      <w:bookmarkStart w:id="4" w:name="_Toc70259397"/>
      <w:bookmarkStart w:id="5" w:name="_Toc70259993"/>
      <w:bookmarkStart w:id="6" w:name="_Toc70260389"/>
      <w:bookmarkStart w:id="7" w:name="_Toc70943213"/>
      <w:r>
        <w:rPr>
          <w:rFonts w:cs="Arial"/>
          <w:sz w:val="22"/>
          <w:szCs w:val="22"/>
          <w:lang w:val="en-US"/>
        </w:rPr>
        <w:t>PREPARED FOR COMESA 20</w:t>
      </w:r>
      <w:r w:rsidR="00A44BBB">
        <w:rPr>
          <w:rFonts w:cs="Arial"/>
          <w:sz w:val="22"/>
          <w:szCs w:val="22"/>
          <w:lang w:val="en-US"/>
        </w:rPr>
        <w:t>20</w:t>
      </w:r>
      <w:r>
        <w:rPr>
          <w:rFonts w:cs="Arial"/>
          <w:sz w:val="22"/>
          <w:szCs w:val="22"/>
          <w:lang w:val="en-US"/>
        </w:rPr>
        <w:t xml:space="preserve"> ANNUAL REPORT</w:t>
      </w:r>
      <w:bookmarkEnd w:id="4"/>
      <w:bookmarkEnd w:id="5"/>
      <w:bookmarkEnd w:id="6"/>
      <w:bookmarkEnd w:id="7"/>
    </w:p>
    <w:p w14:paraId="7AEADA4E" w14:textId="77777777" w:rsidR="00991FFE" w:rsidRPr="00B6509D" w:rsidRDefault="00991FFE"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outlineLvl w:val="0"/>
        <w:rPr>
          <w:rFonts w:cs="Arial"/>
          <w:sz w:val="22"/>
          <w:szCs w:val="22"/>
          <w:lang w:val="en-US"/>
        </w:rPr>
      </w:pPr>
    </w:p>
    <w:p w14:paraId="1EC5C911" w14:textId="77777777" w:rsidR="00991FFE" w:rsidRPr="00B6509D" w:rsidRDefault="00991FFE"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outlineLvl w:val="0"/>
        <w:rPr>
          <w:rFonts w:cs="Arial"/>
          <w:sz w:val="22"/>
          <w:szCs w:val="22"/>
          <w:lang w:val="en-US"/>
        </w:rPr>
      </w:pPr>
    </w:p>
    <w:p w14:paraId="24BF45DA" w14:textId="77777777" w:rsidR="00991FFE" w:rsidRDefault="00991FFE"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outlineLvl w:val="0"/>
        <w:rPr>
          <w:rFonts w:cs="Arial"/>
          <w:sz w:val="22"/>
          <w:szCs w:val="22"/>
          <w:lang w:val="en-US"/>
        </w:rPr>
      </w:pPr>
    </w:p>
    <w:p w14:paraId="58E78A45" w14:textId="77777777" w:rsidR="00C550A1" w:rsidRDefault="00C550A1"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outlineLvl w:val="0"/>
        <w:rPr>
          <w:rFonts w:cs="Arial"/>
          <w:sz w:val="22"/>
          <w:szCs w:val="22"/>
          <w:lang w:val="en-US"/>
        </w:rPr>
      </w:pPr>
    </w:p>
    <w:p w14:paraId="45B05D3F" w14:textId="77777777" w:rsidR="00C550A1" w:rsidRPr="00B6509D" w:rsidRDefault="00C550A1"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outlineLvl w:val="0"/>
        <w:rPr>
          <w:rFonts w:cs="Arial"/>
          <w:sz w:val="22"/>
          <w:szCs w:val="22"/>
          <w:lang w:val="en-US"/>
        </w:rPr>
      </w:pPr>
    </w:p>
    <w:p w14:paraId="19F60E1C" w14:textId="77777777" w:rsidR="00991FFE" w:rsidRPr="00B6509D" w:rsidRDefault="00991FFE"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outlineLvl w:val="0"/>
        <w:rPr>
          <w:rFonts w:cs="Arial"/>
          <w:sz w:val="22"/>
          <w:szCs w:val="22"/>
          <w:lang w:val="en-US"/>
        </w:rPr>
      </w:pPr>
    </w:p>
    <w:p w14:paraId="0F8801F2" w14:textId="77777777" w:rsidR="00991FFE" w:rsidRPr="00B6509D" w:rsidRDefault="00991FFE"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outlineLvl w:val="0"/>
        <w:rPr>
          <w:rFonts w:cs="Arial"/>
          <w:sz w:val="22"/>
          <w:szCs w:val="22"/>
          <w:lang w:val="en-US"/>
        </w:rPr>
      </w:pPr>
    </w:p>
    <w:p w14:paraId="6FBF561C" w14:textId="77777777" w:rsidR="00991FFE" w:rsidRPr="00B6509D" w:rsidRDefault="00991FFE"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outlineLvl w:val="0"/>
        <w:rPr>
          <w:rFonts w:cs="Arial"/>
          <w:sz w:val="22"/>
          <w:szCs w:val="22"/>
          <w:lang w:val="en-US"/>
        </w:rPr>
      </w:pPr>
    </w:p>
    <w:p w14:paraId="1A576F07" w14:textId="77777777" w:rsidR="00991FFE" w:rsidRPr="00B6509D" w:rsidRDefault="00991FFE"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jc w:val="left"/>
        <w:outlineLvl w:val="0"/>
        <w:rPr>
          <w:rFonts w:cs="Arial"/>
          <w:sz w:val="22"/>
          <w:szCs w:val="22"/>
          <w:lang w:val="en-US"/>
        </w:rPr>
      </w:pPr>
    </w:p>
    <w:p w14:paraId="274B26F4" w14:textId="77777777" w:rsidR="00380C2F" w:rsidRDefault="00380C2F"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jc w:val="left"/>
        <w:outlineLvl w:val="0"/>
        <w:rPr>
          <w:rFonts w:cs="Arial"/>
          <w:sz w:val="22"/>
          <w:szCs w:val="22"/>
          <w:lang w:val="en-US"/>
        </w:rPr>
      </w:pPr>
    </w:p>
    <w:p w14:paraId="09221617" w14:textId="77777777" w:rsidR="00A37D3B" w:rsidRDefault="00A37D3B"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jc w:val="left"/>
        <w:outlineLvl w:val="0"/>
        <w:rPr>
          <w:rFonts w:cs="Arial"/>
          <w:sz w:val="22"/>
          <w:szCs w:val="22"/>
          <w:lang w:val="en-US"/>
        </w:rPr>
      </w:pPr>
    </w:p>
    <w:p w14:paraId="7BB633B6" w14:textId="77777777" w:rsidR="00A37D3B" w:rsidRDefault="00A37D3B"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jc w:val="left"/>
        <w:outlineLvl w:val="0"/>
        <w:rPr>
          <w:rFonts w:cs="Arial"/>
          <w:sz w:val="22"/>
          <w:szCs w:val="22"/>
          <w:lang w:val="en-US"/>
        </w:rPr>
      </w:pPr>
    </w:p>
    <w:p w14:paraId="17EAD8A3" w14:textId="77777777" w:rsidR="00A37D3B" w:rsidRDefault="00A37D3B"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jc w:val="left"/>
        <w:outlineLvl w:val="0"/>
        <w:rPr>
          <w:rFonts w:cs="Arial"/>
          <w:sz w:val="22"/>
          <w:szCs w:val="22"/>
          <w:lang w:val="en-US"/>
        </w:rPr>
      </w:pPr>
    </w:p>
    <w:p w14:paraId="2785A116" w14:textId="77777777" w:rsidR="00A37D3B" w:rsidRDefault="00A37D3B"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jc w:val="left"/>
        <w:outlineLvl w:val="0"/>
        <w:rPr>
          <w:rFonts w:cs="Arial"/>
          <w:sz w:val="22"/>
          <w:szCs w:val="22"/>
          <w:lang w:val="en-US"/>
        </w:rPr>
      </w:pPr>
    </w:p>
    <w:p w14:paraId="4C81817D" w14:textId="77777777" w:rsidR="00A37D3B" w:rsidRDefault="00A37D3B"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jc w:val="left"/>
        <w:outlineLvl w:val="0"/>
        <w:rPr>
          <w:rFonts w:cs="Arial"/>
          <w:sz w:val="22"/>
          <w:szCs w:val="22"/>
          <w:lang w:val="en-US"/>
        </w:rPr>
      </w:pPr>
    </w:p>
    <w:p w14:paraId="1F51709A" w14:textId="77777777" w:rsidR="00A37D3B" w:rsidRDefault="00A37D3B"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jc w:val="left"/>
        <w:outlineLvl w:val="0"/>
        <w:rPr>
          <w:rFonts w:cs="Arial"/>
          <w:sz w:val="22"/>
          <w:szCs w:val="22"/>
          <w:lang w:val="en-US"/>
        </w:rPr>
      </w:pPr>
    </w:p>
    <w:p w14:paraId="125995C5" w14:textId="77777777" w:rsidR="00A37D3B" w:rsidRDefault="00A37D3B"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jc w:val="left"/>
        <w:outlineLvl w:val="0"/>
        <w:rPr>
          <w:rFonts w:cs="Arial"/>
          <w:sz w:val="22"/>
          <w:szCs w:val="22"/>
          <w:lang w:val="en-US"/>
        </w:rPr>
      </w:pPr>
    </w:p>
    <w:p w14:paraId="11D36788" w14:textId="77777777" w:rsidR="00A37D3B" w:rsidRDefault="00A37D3B"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jc w:val="left"/>
        <w:outlineLvl w:val="0"/>
        <w:rPr>
          <w:rFonts w:cs="Arial"/>
          <w:sz w:val="22"/>
          <w:szCs w:val="22"/>
          <w:lang w:val="en-US"/>
        </w:rPr>
      </w:pPr>
    </w:p>
    <w:p w14:paraId="76379263" w14:textId="77777777" w:rsidR="00A37D3B" w:rsidRDefault="00A37D3B"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jc w:val="left"/>
        <w:outlineLvl w:val="0"/>
        <w:rPr>
          <w:rFonts w:cs="Arial"/>
          <w:sz w:val="22"/>
          <w:szCs w:val="22"/>
          <w:lang w:val="en-US"/>
        </w:rPr>
      </w:pPr>
    </w:p>
    <w:p w14:paraId="4CF7D2D4" w14:textId="77777777" w:rsidR="00A37D3B" w:rsidRDefault="00A37D3B"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jc w:val="left"/>
        <w:outlineLvl w:val="0"/>
        <w:rPr>
          <w:rFonts w:cs="Arial"/>
          <w:sz w:val="22"/>
          <w:szCs w:val="22"/>
          <w:lang w:val="en-US"/>
        </w:rPr>
      </w:pPr>
    </w:p>
    <w:p w14:paraId="5A5FFA63" w14:textId="77777777" w:rsidR="00A37D3B" w:rsidRDefault="00A37D3B"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jc w:val="left"/>
        <w:outlineLvl w:val="0"/>
        <w:rPr>
          <w:rFonts w:cs="Arial"/>
          <w:sz w:val="22"/>
          <w:szCs w:val="22"/>
          <w:lang w:val="en-US"/>
        </w:rPr>
      </w:pPr>
    </w:p>
    <w:p w14:paraId="2F158CF8" w14:textId="77777777" w:rsidR="00A37D3B" w:rsidRDefault="00A37D3B"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jc w:val="left"/>
        <w:outlineLvl w:val="0"/>
        <w:rPr>
          <w:rFonts w:cs="Arial"/>
          <w:sz w:val="22"/>
          <w:szCs w:val="22"/>
          <w:lang w:val="en-US"/>
        </w:rPr>
      </w:pPr>
    </w:p>
    <w:p w14:paraId="1F3662D7" w14:textId="46C1661B" w:rsidR="00A37D3B" w:rsidRPr="00B6509D" w:rsidRDefault="00A37D3B" w:rsidP="00C550A1">
      <w:pPr>
        <w:pStyle w:val="Title"/>
        <w:pBdr>
          <w:top w:val="thinThickThinSmallGap" w:sz="24" w:space="18" w:color="auto"/>
          <w:left w:val="thinThickThinSmallGap" w:sz="24" w:space="31" w:color="auto"/>
          <w:bottom w:val="thinThickThinSmallGap" w:sz="24" w:space="31" w:color="auto"/>
          <w:right w:val="thinThickThinSmallGap" w:sz="24" w:space="31" w:color="auto"/>
        </w:pBdr>
        <w:tabs>
          <w:tab w:val="left" w:pos="3045"/>
          <w:tab w:val="center" w:pos="4513"/>
        </w:tabs>
        <w:jc w:val="left"/>
        <w:outlineLvl w:val="0"/>
        <w:rPr>
          <w:rFonts w:cs="Arial"/>
          <w:sz w:val="22"/>
          <w:szCs w:val="22"/>
          <w:lang w:val="en-US"/>
        </w:rPr>
      </w:pPr>
    </w:p>
    <w:p w14:paraId="520EE500" w14:textId="77777777" w:rsidR="00572F4C" w:rsidRDefault="00572F4C">
      <w:pPr>
        <w:spacing w:after="0" w:line="240" w:lineRule="auto"/>
        <w:rPr>
          <w:rFonts w:ascii="Arial" w:hAnsi="Arial" w:cs="Arial"/>
          <w:lang w:val="en-US"/>
        </w:rPr>
      </w:pPr>
      <w:r>
        <w:rPr>
          <w:rFonts w:ascii="Arial" w:hAnsi="Arial" w:cs="Arial"/>
          <w:lang w:val="en-US"/>
        </w:rPr>
        <w:br w:type="page"/>
      </w:r>
    </w:p>
    <w:p w14:paraId="3F11C920" w14:textId="77777777" w:rsidR="00572F4C" w:rsidRDefault="00572F4C" w:rsidP="008C697D">
      <w:pPr>
        <w:jc w:val="center"/>
        <w:rPr>
          <w:rFonts w:ascii="Arial" w:hAnsi="Arial" w:cs="Arial"/>
          <w:lang w:val="en-US"/>
        </w:rPr>
        <w:sectPr w:rsidR="00572F4C" w:rsidSect="007554D3">
          <w:footerReference w:type="even" r:id="rId9"/>
          <w:footerReference w:type="default" r:id="rId10"/>
          <w:footerReference w:type="first" r:id="rId11"/>
          <w:pgSz w:w="11906" w:h="16838"/>
          <w:pgMar w:top="1260" w:right="1440" w:bottom="1440" w:left="1440" w:header="720" w:footer="720" w:gutter="0"/>
          <w:pgNumType w:start="0"/>
          <w:cols w:space="720"/>
          <w:titlePg/>
          <w:docGrid w:linePitch="360"/>
        </w:sectPr>
      </w:pPr>
    </w:p>
    <w:p w14:paraId="797DEC60" w14:textId="66743BF4" w:rsidR="0076250B" w:rsidRDefault="0076250B" w:rsidP="008C697D">
      <w:pPr>
        <w:pStyle w:val="ListParagraph"/>
        <w:ind w:left="360"/>
        <w:jc w:val="both"/>
        <w:rPr>
          <w:rFonts w:ascii="Garamond" w:hAnsi="Garamond" w:cs="Arial"/>
          <w:lang w:val="en-US"/>
        </w:rPr>
      </w:pPr>
    </w:p>
    <w:sdt>
      <w:sdtPr>
        <w:rPr>
          <w:rFonts w:ascii="Calibri" w:eastAsia="Calibri" w:hAnsi="Calibri" w:cs="Times New Roman"/>
          <w:color w:val="auto"/>
          <w:sz w:val="22"/>
          <w:szCs w:val="22"/>
          <w:lang w:val="fr-FR" w:eastAsia="fr-FR" w:bidi="fr-FR"/>
        </w:rPr>
        <w:id w:val="352622313"/>
        <w:docPartObj>
          <w:docPartGallery w:val="Table of Contents"/>
          <w:docPartUnique/>
        </w:docPartObj>
      </w:sdtPr>
      <w:sdtEndPr>
        <w:rPr>
          <w:b/>
          <w:bCs/>
          <w:noProof/>
        </w:rPr>
      </w:sdtEndPr>
      <w:sdtContent>
        <w:p w14:paraId="5C11D808" w14:textId="302B5C59" w:rsidR="00A705E7" w:rsidRDefault="00A705E7">
          <w:pPr>
            <w:pStyle w:val="TOCHeading"/>
          </w:pPr>
          <w:r>
            <w:t>Table of Contents</w:t>
          </w:r>
        </w:p>
        <w:p w14:paraId="3713C0DB" w14:textId="5932BD39" w:rsidR="00756A55" w:rsidRDefault="00A705E7">
          <w:pPr>
            <w:pStyle w:val="TOC1"/>
            <w:tabs>
              <w:tab w:val="right" w:leader="dot" w:pos="9016"/>
            </w:tabs>
            <w:rPr>
              <w:rFonts w:asciiTheme="minorHAnsi" w:eastAsiaTheme="minorEastAsia" w:hAnsiTheme="minorHAnsi" w:cstheme="minorBidi"/>
              <w:noProof/>
              <w:lang w:val="en-US" w:eastAsia="en-US" w:bidi="ar-SA"/>
            </w:rPr>
          </w:pPr>
          <w:r>
            <w:fldChar w:fldCharType="begin"/>
          </w:r>
          <w:r w:rsidRPr="00332951">
            <w:rPr>
              <w:lang w:val="en-US"/>
            </w:rPr>
            <w:instrText xml:space="preserve"> TOC \o "1-3" \h \z \u </w:instrText>
          </w:r>
          <w:r>
            <w:fldChar w:fldCharType="separate"/>
          </w:r>
        </w:p>
        <w:p w14:paraId="0BDA6615" w14:textId="3C4277D1" w:rsidR="00756A55" w:rsidRDefault="00651CEC">
          <w:pPr>
            <w:pStyle w:val="TOC1"/>
            <w:tabs>
              <w:tab w:val="left" w:pos="440"/>
              <w:tab w:val="right" w:leader="dot" w:pos="9016"/>
            </w:tabs>
            <w:rPr>
              <w:rFonts w:asciiTheme="minorHAnsi" w:eastAsiaTheme="minorEastAsia" w:hAnsiTheme="minorHAnsi" w:cstheme="minorBidi"/>
              <w:noProof/>
              <w:lang w:val="en-US" w:eastAsia="en-US" w:bidi="ar-SA"/>
            </w:rPr>
          </w:pPr>
          <w:hyperlink w:anchor="_Toc70943214" w:history="1">
            <w:r w:rsidR="00756A55" w:rsidRPr="009152C0">
              <w:rPr>
                <w:rStyle w:val="Hyperlink"/>
                <w:rFonts w:ascii="Arial" w:hAnsi="Arial" w:cs="Arial"/>
                <w:noProof/>
              </w:rPr>
              <w:t>1.</w:t>
            </w:r>
            <w:r w:rsidR="00756A55">
              <w:rPr>
                <w:rFonts w:asciiTheme="minorHAnsi" w:eastAsiaTheme="minorEastAsia" w:hAnsiTheme="minorHAnsi" w:cstheme="minorBidi"/>
                <w:noProof/>
                <w:lang w:val="en-US" w:eastAsia="en-US" w:bidi="ar-SA"/>
              </w:rPr>
              <w:tab/>
            </w:r>
            <w:r w:rsidR="00756A55" w:rsidRPr="009152C0">
              <w:rPr>
                <w:rStyle w:val="Hyperlink"/>
                <w:rFonts w:ascii="Arial" w:hAnsi="Arial" w:cs="Arial"/>
                <w:noProof/>
              </w:rPr>
              <w:t>Background</w:t>
            </w:r>
            <w:r w:rsidR="00756A55">
              <w:rPr>
                <w:noProof/>
                <w:webHidden/>
              </w:rPr>
              <w:tab/>
            </w:r>
            <w:r w:rsidR="00756A55">
              <w:rPr>
                <w:noProof/>
                <w:webHidden/>
              </w:rPr>
              <w:fldChar w:fldCharType="begin"/>
            </w:r>
            <w:r w:rsidR="00756A55">
              <w:rPr>
                <w:noProof/>
                <w:webHidden/>
              </w:rPr>
              <w:instrText xml:space="preserve"> PAGEREF _Toc70943214 \h </w:instrText>
            </w:r>
            <w:r w:rsidR="00756A55">
              <w:rPr>
                <w:noProof/>
                <w:webHidden/>
              </w:rPr>
            </w:r>
            <w:r w:rsidR="00756A55">
              <w:rPr>
                <w:noProof/>
                <w:webHidden/>
              </w:rPr>
              <w:fldChar w:fldCharType="separate"/>
            </w:r>
            <w:r w:rsidR="00866FE1">
              <w:rPr>
                <w:noProof/>
                <w:webHidden/>
              </w:rPr>
              <w:t>1</w:t>
            </w:r>
            <w:r w:rsidR="00756A55">
              <w:rPr>
                <w:noProof/>
                <w:webHidden/>
              </w:rPr>
              <w:fldChar w:fldCharType="end"/>
            </w:r>
          </w:hyperlink>
        </w:p>
        <w:p w14:paraId="548AE2E8" w14:textId="07AA3369" w:rsidR="00756A55" w:rsidRDefault="00651CEC">
          <w:pPr>
            <w:pStyle w:val="TOC1"/>
            <w:tabs>
              <w:tab w:val="left" w:pos="440"/>
              <w:tab w:val="right" w:leader="dot" w:pos="9016"/>
            </w:tabs>
            <w:rPr>
              <w:rFonts w:asciiTheme="minorHAnsi" w:eastAsiaTheme="minorEastAsia" w:hAnsiTheme="minorHAnsi" w:cstheme="minorBidi"/>
              <w:noProof/>
              <w:lang w:val="en-US" w:eastAsia="en-US" w:bidi="ar-SA"/>
            </w:rPr>
          </w:pPr>
          <w:hyperlink w:anchor="_Toc70943215" w:history="1">
            <w:r w:rsidR="00756A55" w:rsidRPr="009152C0">
              <w:rPr>
                <w:rStyle w:val="Hyperlink"/>
                <w:rFonts w:ascii="Arial" w:hAnsi="Arial" w:cs="Arial"/>
                <w:noProof/>
              </w:rPr>
              <w:t>2</w:t>
            </w:r>
            <w:r w:rsidR="00756A55">
              <w:rPr>
                <w:rFonts w:asciiTheme="minorHAnsi" w:eastAsiaTheme="minorEastAsia" w:hAnsiTheme="minorHAnsi" w:cstheme="minorBidi"/>
                <w:noProof/>
                <w:lang w:val="en-US" w:eastAsia="en-US" w:bidi="ar-SA"/>
              </w:rPr>
              <w:tab/>
            </w:r>
            <w:r w:rsidR="00756A55" w:rsidRPr="009152C0">
              <w:rPr>
                <w:rStyle w:val="Hyperlink"/>
                <w:rFonts w:ascii="Arial" w:hAnsi="Arial" w:cs="Arial"/>
                <w:noProof/>
              </w:rPr>
              <w:t>Growth</w:t>
            </w:r>
            <w:r w:rsidR="00756A55">
              <w:rPr>
                <w:noProof/>
                <w:webHidden/>
              </w:rPr>
              <w:tab/>
            </w:r>
            <w:r w:rsidR="00756A55">
              <w:rPr>
                <w:noProof/>
                <w:webHidden/>
              </w:rPr>
              <w:fldChar w:fldCharType="begin"/>
            </w:r>
            <w:r w:rsidR="00756A55">
              <w:rPr>
                <w:noProof/>
                <w:webHidden/>
              </w:rPr>
              <w:instrText xml:space="preserve"> PAGEREF _Toc70943215 \h </w:instrText>
            </w:r>
            <w:r w:rsidR="00756A55">
              <w:rPr>
                <w:noProof/>
                <w:webHidden/>
              </w:rPr>
            </w:r>
            <w:r w:rsidR="00756A55">
              <w:rPr>
                <w:noProof/>
                <w:webHidden/>
              </w:rPr>
              <w:fldChar w:fldCharType="separate"/>
            </w:r>
            <w:r w:rsidR="00866FE1">
              <w:rPr>
                <w:noProof/>
                <w:webHidden/>
              </w:rPr>
              <w:t>1</w:t>
            </w:r>
            <w:r w:rsidR="00756A55">
              <w:rPr>
                <w:noProof/>
                <w:webHidden/>
              </w:rPr>
              <w:fldChar w:fldCharType="end"/>
            </w:r>
          </w:hyperlink>
        </w:p>
        <w:p w14:paraId="6F2FCFB8" w14:textId="52C8A682" w:rsidR="00756A55" w:rsidRDefault="00651CEC">
          <w:pPr>
            <w:pStyle w:val="TOC1"/>
            <w:tabs>
              <w:tab w:val="left" w:pos="440"/>
              <w:tab w:val="right" w:leader="dot" w:pos="9016"/>
            </w:tabs>
            <w:rPr>
              <w:rFonts w:asciiTheme="minorHAnsi" w:eastAsiaTheme="minorEastAsia" w:hAnsiTheme="minorHAnsi" w:cstheme="minorBidi"/>
              <w:noProof/>
              <w:lang w:val="en-US" w:eastAsia="en-US" w:bidi="ar-SA"/>
            </w:rPr>
          </w:pPr>
          <w:hyperlink w:anchor="_Toc70943216" w:history="1">
            <w:r w:rsidR="00756A55" w:rsidRPr="009152C0">
              <w:rPr>
                <w:rStyle w:val="Hyperlink"/>
                <w:rFonts w:ascii="Arial" w:hAnsi="Arial" w:cs="Arial"/>
                <w:noProof/>
              </w:rPr>
              <w:t>3</w:t>
            </w:r>
            <w:r w:rsidR="00756A55">
              <w:rPr>
                <w:rFonts w:asciiTheme="minorHAnsi" w:eastAsiaTheme="minorEastAsia" w:hAnsiTheme="minorHAnsi" w:cstheme="minorBidi"/>
                <w:noProof/>
                <w:lang w:val="en-US" w:eastAsia="en-US" w:bidi="ar-SA"/>
              </w:rPr>
              <w:tab/>
            </w:r>
            <w:r w:rsidR="00756A55" w:rsidRPr="009152C0">
              <w:rPr>
                <w:rStyle w:val="Hyperlink"/>
                <w:rFonts w:ascii="Arial" w:hAnsi="Arial" w:cs="Arial"/>
                <w:noProof/>
              </w:rPr>
              <w:t>Inflation Rate</w:t>
            </w:r>
            <w:r w:rsidR="00756A55">
              <w:rPr>
                <w:noProof/>
                <w:webHidden/>
              </w:rPr>
              <w:tab/>
            </w:r>
            <w:r w:rsidR="00756A55">
              <w:rPr>
                <w:noProof/>
                <w:webHidden/>
              </w:rPr>
              <w:fldChar w:fldCharType="begin"/>
            </w:r>
            <w:r w:rsidR="00756A55">
              <w:rPr>
                <w:noProof/>
                <w:webHidden/>
              </w:rPr>
              <w:instrText xml:space="preserve"> PAGEREF _Toc70943216 \h </w:instrText>
            </w:r>
            <w:r w:rsidR="00756A55">
              <w:rPr>
                <w:noProof/>
                <w:webHidden/>
              </w:rPr>
            </w:r>
            <w:r w:rsidR="00756A55">
              <w:rPr>
                <w:noProof/>
                <w:webHidden/>
              </w:rPr>
              <w:fldChar w:fldCharType="separate"/>
            </w:r>
            <w:r w:rsidR="00866FE1">
              <w:rPr>
                <w:noProof/>
                <w:webHidden/>
              </w:rPr>
              <w:t>2</w:t>
            </w:r>
            <w:r w:rsidR="00756A55">
              <w:rPr>
                <w:noProof/>
                <w:webHidden/>
              </w:rPr>
              <w:fldChar w:fldCharType="end"/>
            </w:r>
          </w:hyperlink>
        </w:p>
        <w:p w14:paraId="1840C633" w14:textId="209D3051" w:rsidR="00756A55" w:rsidRDefault="00651CEC">
          <w:pPr>
            <w:pStyle w:val="TOC1"/>
            <w:tabs>
              <w:tab w:val="left" w:pos="440"/>
              <w:tab w:val="right" w:leader="dot" w:pos="9016"/>
            </w:tabs>
            <w:rPr>
              <w:rFonts w:asciiTheme="minorHAnsi" w:eastAsiaTheme="minorEastAsia" w:hAnsiTheme="minorHAnsi" w:cstheme="minorBidi"/>
              <w:noProof/>
              <w:lang w:val="en-US" w:eastAsia="en-US" w:bidi="ar-SA"/>
            </w:rPr>
          </w:pPr>
          <w:hyperlink w:anchor="_Toc70943217" w:history="1">
            <w:r w:rsidR="00756A55" w:rsidRPr="009152C0">
              <w:rPr>
                <w:rStyle w:val="Hyperlink"/>
                <w:rFonts w:ascii="Arial" w:hAnsi="Arial" w:cs="Arial"/>
                <w:noProof/>
              </w:rPr>
              <w:t>4</w:t>
            </w:r>
            <w:r w:rsidR="00756A55">
              <w:rPr>
                <w:rFonts w:asciiTheme="minorHAnsi" w:eastAsiaTheme="minorEastAsia" w:hAnsiTheme="minorHAnsi" w:cstheme="minorBidi"/>
                <w:noProof/>
                <w:lang w:val="en-US" w:eastAsia="en-US" w:bidi="ar-SA"/>
              </w:rPr>
              <w:tab/>
            </w:r>
            <w:r w:rsidR="00756A55" w:rsidRPr="009152C0">
              <w:rPr>
                <w:rStyle w:val="Hyperlink"/>
                <w:rFonts w:ascii="Arial" w:hAnsi="Arial" w:cs="Arial"/>
                <w:noProof/>
              </w:rPr>
              <w:t>Monetary Policy and Exchange Rate developments</w:t>
            </w:r>
            <w:r w:rsidR="00756A55">
              <w:rPr>
                <w:noProof/>
                <w:webHidden/>
              </w:rPr>
              <w:tab/>
            </w:r>
            <w:r w:rsidR="00756A55">
              <w:rPr>
                <w:noProof/>
                <w:webHidden/>
              </w:rPr>
              <w:fldChar w:fldCharType="begin"/>
            </w:r>
            <w:r w:rsidR="00756A55">
              <w:rPr>
                <w:noProof/>
                <w:webHidden/>
              </w:rPr>
              <w:instrText xml:space="preserve"> PAGEREF _Toc70943217 \h </w:instrText>
            </w:r>
            <w:r w:rsidR="00756A55">
              <w:rPr>
                <w:noProof/>
                <w:webHidden/>
              </w:rPr>
            </w:r>
            <w:r w:rsidR="00756A55">
              <w:rPr>
                <w:noProof/>
                <w:webHidden/>
              </w:rPr>
              <w:fldChar w:fldCharType="separate"/>
            </w:r>
            <w:r w:rsidR="00866FE1">
              <w:rPr>
                <w:noProof/>
                <w:webHidden/>
              </w:rPr>
              <w:t>3</w:t>
            </w:r>
            <w:r w:rsidR="00756A55">
              <w:rPr>
                <w:noProof/>
                <w:webHidden/>
              </w:rPr>
              <w:fldChar w:fldCharType="end"/>
            </w:r>
          </w:hyperlink>
        </w:p>
        <w:p w14:paraId="08004BDA" w14:textId="4122138B" w:rsidR="00756A55" w:rsidRDefault="00651CEC">
          <w:pPr>
            <w:pStyle w:val="TOC1"/>
            <w:tabs>
              <w:tab w:val="left" w:pos="440"/>
              <w:tab w:val="right" w:leader="dot" w:pos="9016"/>
            </w:tabs>
            <w:rPr>
              <w:rFonts w:asciiTheme="minorHAnsi" w:eastAsiaTheme="minorEastAsia" w:hAnsiTheme="minorHAnsi" w:cstheme="minorBidi"/>
              <w:noProof/>
              <w:lang w:val="en-US" w:eastAsia="en-US" w:bidi="ar-SA"/>
            </w:rPr>
          </w:pPr>
          <w:hyperlink w:anchor="_Toc70943218" w:history="1">
            <w:r w:rsidR="00756A55" w:rsidRPr="009152C0">
              <w:rPr>
                <w:rStyle w:val="Hyperlink"/>
                <w:rFonts w:ascii="Arial" w:hAnsi="Arial" w:cs="Arial"/>
                <w:noProof/>
              </w:rPr>
              <w:t>5</w:t>
            </w:r>
            <w:r w:rsidR="00756A55">
              <w:rPr>
                <w:rFonts w:asciiTheme="minorHAnsi" w:eastAsiaTheme="minorEastAsia" w:hAnsiTheme="minorHAnsi" w:cstheme="minorBidi"/>
                <w:noProof/>
                <w:lang w:val="en-US" w:eastAsia="en-US" w:bidi="ar-SA"/>
              </w:rPr>
              <w:tab/>
            </w:r>
            <w:r w:rsidR="00756A55" w:rsidRPr="009152C0">
              <w:rPr>
                <w:rStyle w:val="Hyperlink"/>
                <w:rFonts w:ascii="Arial" w:hAnsi="Arial" w:cs="Arial"/>
                <w:noProof/>
              </w:rPr>
              <w:t>Overall Fiscal Balance Including Grants</w:t>
            </w:r>
            <w:r w:rsidR="00756A55">
              <w:rPr>
                <w:noProof/>
                <w:webHidden/>
              </w:rPr>
              <w:tab/>
            </w:r>
            <w:r w:rsidR="00756A55">
              <w:rPr>
                <w:noProof/>
                <w:webHidden/>
              </w:rPr>
              <w:fldChar w:fldCharType="begin"/>
            </w:r>
            <w:r w:rsidR="00756A55">
              <w:rPr>
                <w:noProof/>
                <w:webHidden/>
              </w:rPr>
              <w:instrText xml:space="preserve"> PAGEREF _Toc70943218 \h </w:instrText>
            </w:r>
            <w:r w:rsidR="00756A55">
              <w:rPr>
                <w:noProof/>
                <w:webHidden/>
              </w:rPr>
            </w:r>
            <w:r w:rsidR="00756A55">
              <w:rPr>
                <w:noProof/>
                <w:webHidden/>
              </w:rPr>
              <w:fldChar w:fldCharType="separate"/>
            </w:r>
            <w:r w:rsidR="00866FE1">
              <w:rPr>
                <w:noProof/>
                <w:webHidden/>
              </w:rPr>
              <w:t>3</w:t>
            </w:r>
            <w:r w:rsidR="00756A55">
              <w:rPr>
                <w:noProof/>
                <w:webHidden/>
              </w:rPr>
              <w:fldChar w:fldCharType="end"/>
            </w:r>
          </w:hyperlink>
        </w:p>
        <w:p w14:paraId="0E6A9BF3" w14:textId="4F24BFD3" w:rsidR="00756A55" w:rsidRDefault="00651CEC">
          <w:pPr>
            <w:pStyle w:val="TOC1"/>
            <w:tabs>
              <w:tab w:val="left" w:pos="440"/>
              <w:tab w:val="right" w:leader="dot" w:pos="9016"/>
            </w:tabs>
            <w:rPr>
              <w:rFonts w:asciiTheme="minorHAnsi" w:eastAsiaTheme="minorEastAsia" w:hAnsiTheme="minorHAnsi" w:cstheme="minorBidi"/>
              <w:noProof/>
              <w:lang w:val="en-US" w:eastAsia="en-US" w:bidi="ar-SA"/>
            </w:rPr>
          </w:pPr>
          <w:hyperlink w:anchor="_Toc70943219" w:history="1">
            <w:r w:rsidR="00756A55" w:rsidRPr="009152C0">
              <w:rPr>
                <w:rStyle w:val="Hyperlink"/>
                <w:rFonts w:ascii="Arial" w:hAnsi="Arial" w:cs="Arial"/>
                <w:noProof/>
              </w:rPr>
              <w:t>6</w:t>
            </w:r>
            <w:r w:rsidR="00756A55">
              <w:rPr>
                <w:rFonts w:asciiTheme="minorHAnsi" w:eastAsiaTheme="minorEastAsia" w:hAnsiTheme="minorHAnsi" w:cstheme="minorBidi"/>
                <w:noProof/>
                <w:lang w:val="en-US" w:eastAsia="en-US" w:bidi="ar-SA"/>
              </w:rPr>
              <w:tab/>
            </w:r>
            <w:r w:rsidR="00756A55" w:rsidRPr="009152C0">
              <w:rPr>
                <w:rStyle w:val="Hyperlink"/>
                <w:rFonts w:ascii="Arial" w:hAnsi="Arial" w:cs="Arial"/>
                <w:noProof/>
              </w:rPr>
              <w:t>Government Debt</w:t>
            </w:r>
            <w:r w:rsidR="00756A55">
              <w:rPr>
                <w:noProof/>
                <w:webHidden/>
              </w:rPr>
              <w:tab/>
            </w:r>
            <w:r w:rsidR="00756A55">
              <w:rPr>
                <w:noProof/>
                <w:webHidden/>
              </w:rPr>
              <w:fldChar w:fldCharType="begin"/>
            </w:r>
            <w:r w:rsidR="00756A55">
              <w:rPr>
                <w:noProof/>
                <w:webHidden/>
              </w:rPr>
              <w:instrText xml:space="preserve"> PAGEREF _Toc70943219 \h </w:instrText>
            </w:r>
            <w:r w:rsidR="00756A55">
              <w:rPr>
                <w:noProof/>
                <w:webHidden/>
              </w:rPr>
            </w:r>
            <w:r w:rsidR="00756A55">
              <w:rPr>
                <w:noProof/>
                <w:webHidden/>
              </w:rPr>
              <w:fldChar w:fldCharType="separate"/>
            </w:r>
            <w:r w:rsidR="00866FE1">
              <w:rPr>
                <w:noProof/>
                <w:webHidden/>
              </w:rPr>
              <w:t>5</w:t>
            </w:r>
            <w:r w:rsidR="00756A55">
              <w:rPr>
                <w:noProof/>
                <w:webHidden/>
              </w:rPr>
              <w:fldChar w:fldCharType="end"/>
            </w:r>
          </w:hyperlink>
        </w:p>
        <w:p w14:paraId="2AED8422" w14:textId="5D33D3D6" w:rsidR="00756A55" w:rsidRDefault="00651CEC">
          <w:pPr>
            <w:pStyle w:val="TOC1"/>
            <w:tabs>
              <w:tab w:val="left" w:pos="440"/>
              <w:tab w:val="right" w:leader="dot" w:pos="9016"/>
            </w:tabs>
            <w:rPr>
              <w:rFonts w:asciiTheme="minorHAnsi" w:eastAsiaTheme="minorEastAsia" w:hAnsiTheme="minorHAnsi" w:cstheme="minorBidi"/>
              <w:noProof/>
              <w:lang w:val="en-US" w:eastAsia="en-US" w:bidi="ar-SA"/>
            </w:rPr>
          </w:pPr>
          <w:hyperlink w:anchor="_Toc70943220" w:history="1">
            <w:r w:rsidR="00756A55" w:rsidRPr="009152C0">
              <w:rPr>
                <w:rStyle w:val="Hyperlink"/>
                <w:rFonts w:ascii="Arial" w:hAnsi="Arial" w:cs="Arial"/>
                <w:noProof/>
              </w:rPr>
              <w:t>7</w:t>
            </w:r>
            <w:r w:rsidR="00756A55">
              <w:rPr>
                <w:rFonts w:asciiTheme="minorHAnsi" w:eastAsiaTheme="minorEastAsia" w:hAnsiTheme="minorHAnsi" w:cstheme="minorBidi"/>
                <w:noProof/>
                <w:lang w:val="en-US" w:eastAsia="en-US" w:bidi="ar-SA"/>
              </w:rPr>
              <w:tab/>
            </w:r>
            <w:r w:rsidR="00756A55" w:rsidRPr="009152C0">
              <w:rPr>
                <w:rStyle w:val="Hyperlink"/>
                <w:rFonts w:ascii="Arial" w:hAnsi="Arial" w:cs="Arial"/>
                <w:noProof/>
              </w:rPr>
              <w:t>External Current Account Including Grant</w:t>
            </w:r>
            <w:r w:rsidR="00756A55">
              <w:rPr>
                <w:noProof/>
                <w:webHidden/>
              </w:rPr>
              <w:tab/>
            </w:r>
            <w:r w:rsidR="00756A55">
              <w:rPr>
                <w:noProof/>
                <w:webHidden/>
              </w:rPr>
              <w:fldChar w:fldCharType="begin"/>
            </w:r>
            <w:r w:rsidR="00756A55">
              <w:rPr>
                <w:noProof/>
                <w:webHidden/>
              </w:rPr>
              <w:instrText xml:space="preserve"> PAGEREF _Toc70943220 \h </w:instrText>
            </w:r>
            <w:r w:rsidR="00756A55">
              <w:rPr>
                <w:noProof/>
                <w:webHidden/>
              </w:rPr>
            </w:r>
            <w:r w:rsidR="00756A55">
              <w:rPr>
                <w:noProof/>
                <w:webHidden/>
              </w:rPr>
              <w:fldChar w:fldCharType="separate"/>
            </w:r>
            <w:r w:rsidR="00866FE1">
              <w:rPr>
                <w:noProof/>
                <w:webHidden/>
              </w:rPr>
              <w:t>6</w:t>
            </w:r>
            <w:r w:rsidR="00756A55">
              <w:rPr>
                <w:noProof/>
                <w:webHidden/>
              </w:rPr>
              <w:fldChar w:fldCharType="end"/>
            </w:r>
          </w:hyperlink>
        </w:p>
        <w:p w14:paraId="74F2D16F" w14:textId="13301EFC" w:rsidR="00756A55" w:rsidRDefault="00651CEC">
          <w:pPr>
            <w:pStyle w:val="TOC1"/>
            <w:tabs>
              <w:tab w:val="left" w:pos="440"/>
              <w:tab w:val="right" w:leader="dot" w:pos="9016"/>
            </w:tabs>
            <w:rPr>
              <w:rFonts w:asciiTheme="minorHAnsi" w:eastAsiaTheme="minorEastAsia" w:hAnsiTheme="minorHAnsi" w:cstheme="minorBidi"/>
              <w:noProof/>
              <w:lang w:val="en-US" w:eastAsia="en-US" w:bidi="ar-SA"/>
            </w:rPr>
          </w:pPr>
          <w:hyperlink w:anchor="_Toc70943221" w:history="1">
            <w:r w:rsidR="00756A55" w:rsidRPr="009152C0">
              <w:rPr>
                <w:rStyle w:val="Hyperlink"/>
                <w:rFonts w:ascii="Arial" w:hAnsi="Arial" w:cs="Arial"/>
                <w:noProof/>
              </w:rPr>
              <w:t>8</w:t>
            </w:r>
            <w:r w:rsidR="00756A55">
              <w:rPr>
                <w:rFonts w:asciiTheme="minorHAnsi" w:eastAsiaTheme="minorEastAsia" w:hAnsiTheme="minorHAnsi" w:cstheme="minorBidi"/>
                <w:noProof/>
                <w:lang w:val="en-US" w:eastAsia="en-US" w:bidi="ar-SA"/>
              </w:rPr>
              <w:tab/>
            </w:r>
            <w:r w:rsidR="00756A55" w:rsidRPr="009152C0">
              <w:rPr>
                <w:rStyle w:val="Hyperlink"/>
                <w:rFonts w:ascii="Arial" w:hAnsi="Arial" w:cs="Arial"/>
                <w:noProof/>
              </w:rPr>
              <w:t>Reserve Accumulation</w:t>
            </w:r>
            <w:r w:rsidR="00756A55">
              <w:rPr>
                <w:noProof/>
                <w:webHidden/>
              </w:rPr>
              <w:tab/>
            </w:r>
            <w:r w:rsidR="00756A55">
              <w:rPr>
                <w:noProof/>
                <w:webHidden/>
              </w:rPr>
              <w:fldChar w:fldCharType="begin"/>
            </w:r>
            <w:r w:rsidR="00756A55">
              <w:rPr>
                <w:noProof/>
                <w:webHidden/>
              </w:rPr>
              <w:instrText xml:space="preserve"> PAGEREF _Toc70943221 \h </w:instrText>
            </w:r>
            <w:r w:rsidR="00756A55">
              <w:rPr>
                <w:noProof/>
                <w:webHidden/>
              </w:rPr>
            </w:r>
            <w:r w:rsidR="00756A55">
              <w:rPr>
                <w:noProof/>
                <w:webHidden/>
              </w:rPr>
              <w:fldChar w:fldCharType="separate"/>
            </w:r>
            <w:r w:rsidR="00866FE1">
              <w:rPr>
                <w:noProof/>
                <w:webHidden/>
              </w:rPr>
              <w:t>7</w:t>
            </w:r>
            <w:r w:rsidR="00756A55">
              <w:rPr>
                <w:noProof/>
                <w:webHidden/>
              </w:rPr>
              <w:fldChar w:fldCharType="end"/>
            </w:r>
          </w:hyperlink>
        </w:p>
        <w:p w14:paraId="22597B4C" w14:textId="6995BA16" w:rsidR="00756A55" w:rsidRDefault="00651CEC">
          <w:pPr>
            <w:pStyle w:val="TOC1"/>
            <w:tabs>
              <w:tab w:val="left" w:pos="440"/>
              <w:tab w:val="right" w:leader="dot" w:pos="9016"/>
            </w:tabs>
            <w:rPr>
              <w:rFonts w:asciiTheme="minorHAnsi" w:eastAsiaTheme="minorEastAsia" w:hAnsiTheme="minorHAnsi" w:cstheme="minorBidi"/>
              <w:noProof/>
              <w:lang w:val="en-US" w:eastAsia="en-US" w:bidi="ar-SA"/>
            </w:rPr>
          </w:pPr>
          <w:hyperlink w:anchor="_Toc70943222" w:history="1">
            <w:r w:rsidR="00756A55" w:rsidRPr="009152C0">
              <w:rPr>
                <w:rStyle w:val="Hyperlink"/>
                <w:rFonts w:ascii="Arial" w:hAnsi="Arial" w:cs="Arial"/>
                <w:noProof/>
              </w:rPr>
              <w:t>9</w:t>
            </w:r>
            <w:r w:rsidR="00756A55">
              <w:rPr>
                <w:rFonts w:asciiTheme="minorHAnsi" w:eastAsiaTheme="minorEastAsia" w:hAnsiTheme="minorHAnsi" w:cstheme="minorBidi"/>
                <w:noProof/>
                <w:lang w:val="en-US" w:eastAsia="en-US" w:bidi="ar-SA"/>
              </w:rPr>
              <w:tab/>
            </w:r>
            <w:r w:rsidR="00756A55" w:rsidRPr="009152C0">
              <w:rPr>
                <w:rStyle w:val="Hyperlink"/>
                <w:rFonts w:ascii="Arial" w:hAnsi="Arial" w:cs="Arial"/>
                <w:noProof/>
              </w:rPr>
              <w:t>Medium Term Prospects and Recommendations for Chance to Change</w:t>
            </w:r>
            <w:r w:rsidR="00756A55">
              <w:rPr>
                <w:noProof/>
                <w:webHidden/>
              </w:rPr>
              <w:tab/>
            </w:r>
            <w:r w:rsidR="00756A55">
              <w:rPr>
                <w:noProof/>
                <w:webHidden/>
              </w:rPr>
              <w:fldChar w:fldCharType="begin"/>
            </w:r>
            <w:r w:rsidR="00756A55">
              <w:rPr>
                <w:noProof/>
                <w:webHidden/>
              </w:rPr>
              <w:instrText xml:space="preserve"> PAGEREF _Toc70943222 \h </w:instrText>
            </w:r>
            <w:r w:rsidR="00756A55">
              <w:rPr>
                <w:noProof/>
                <w:webHidden/>
              </w:rPr>
            </w:r>
            <w:r w:rsidR="00756A55">
              <w:rPr>
                <w:noProof/>
                <w:webHidden/>
              </w:rPr>
              <w:fldChar w:fldCharType="separate"/>
            </w:r>
            <w:r w:rsidR="00866FE1">
              <w:rPr>
                <w:noProof/>
                <w:webHidden/>
              </w:rPr>
              <w:t>7</w:t>
            </w:r>
            <w:r w:rsidR="00756A55">
              <w:rPr>
                <w:noProof/>
                <w:webHidden/>
              </w:rPr>
              <w:fldChar w:fldCharType="end"/>
            </w:r>
          </w:hyperlink>
        </w:p>
        <w:p w14:paraId="5DDBE2B5" w14:textId="2942FC78" w:rsidR="00756A55" w:rsidRDefault="00651CEC">
          <w:pPr>
            <w:pStyle w:val="TOC1"/>
            <w:tabs>
              <w:tab w:val="left" w:pos="660"/>
              <w:tab w:val="right" w:leader="dot" w:pos="9016"/>
            </w:tabs>
            <w:rPr>
              <w:rFonts w:asciiTheme="minorHAnsi" w:eastAsiaTheme="minorEastAsia" w:hAnsiTheme="minorHAnsi" w:cstheme="minorBidi"/>
              <w:noProof/>
              <w:lang w:val="en-US" w:eastAsia="en-US" w:bidi="ar-SA"/>
            </w:rPr>
          </w:pPr>
          <w:hyperlink w:anchor="_Toc70943223" w:history="1">
            <w:r w:rsidR="00756A55" w:rsidRPr="009152C0">
              <w:rPr>
                <w:rStyle w:val="Hyperlink"/>
                <w:rFonts w:ascii="Arial" w:hAnsi="Arial" w:cs="Arial"/>
                <w:noProof/>
              </w:rPr>
              <w:t>10</w:t>
            </w:r>
            <w:r w:rsidR="00756A55">
              <w:rPr>
                <w:rFonts w:asciiTheme="minorHAnsi" w:eastAsiaTheme="minorEastAsia" w:hAnsiTheme="minorHAnsi" w:cstheme="minorBidi"/>
                <w:noProof/>
                <w:lang w:val="en-US" w:eastAsia="en-US" w:bidi="ar-SA"/>
              </w:rPr>
              <w:tab/>
            </w:r>
            <w:r w:rsidR="00756A55" w:rsidRPr="009152C0">
              <w:rPr>
                <w:rStyle w:val="Hyperlink"/>
                <w:rFonts w:ascii="Arial" w:hAnsi="Arial" w:cs="Arial"/>
                <w:noProof/>
              </w:rPr>
              <w:t>Risks to Outlook</w:t>
            </w:r>
            <w:r w:rsidR="00756A55">
              <w:rPr>
                <w:noProof/>
                <w:webHidden/>
              </w:rPr>
              <w:tab/>
            </w:r>
            <w:r w:rsidR="00756A55">
              <w:rPr>
                <w:noProof/>
                <w:webHidden/>
              </w:rPr>
              <w:fldChar w:fldCharType="begin"/>
            </w:r>
            <w:r w:rsidR="00756A55">
              <w:rPr>
                <w:noProof/>
                <w:webHidden/>
              </w:rPr>
              <w:instrText xml:space="preserve"> PAGEREF _Toc70943223 \h </w:instrText>
            </w:r>
            <w:r w:rsidR="00756A55">
              <w:rPr>
                <w:noProof/>
                <w:webHidden/>
              </w:rPr>
            </w:r>
            <w:r w:rsidR="00756A55">
              <w:rPr>
                <w:noProof/>
                <w:webHidden/>
              </w:rPr>
              <w:fldChar w:fldCharType="separate"/>
            </w:r>
            <w:r w:rsidR="00866FE1">
              <w:rPr>
                <w:noProof/>
                <w:webHidden/>
              </w:rPr>
              <w:t>8</w:t>
            </w:r>
            <w:r w:rsidR="00756A55">
              <w:rPr>
                <w:noProof/>
                <w:webHidden/>
              </w:rPr>
              <w:fldChar w:fldCharType="end"/>
            </w:r>
          </w:hyperlink>
        </w:p>
        <w:p w14:paraId="57951A43" w14:textId="5DD5C4B2" w:rsidR="00756A55" w:rsidRDefault="00651CEC">
          <w:pPr>
            <w:pStyle w:val="TOC1"/>
            <w:tabs>
              <w:tab w:val="right" w:leader="dot" w:pos="9016"/>
            </w:tabs>
            <w:rPr>
              <w:rFonts w:asciiTheme="minorHAnsi" w:eastAsiaTheme="minorEastAsia" w:hAnsiTheme="minorHAnsi" w:cstheme="minorBidi"/>
              <w:noProof/>
              <w:lang w:val="en-US" w:eastAsia="en-US" w:bidi="ar-SA"/>
            </w:rPr>
          </w:pPr>
          <w:hyperlink w:anchor="_Toc70943224" w:history="1">
            <w:r w:rsidR="00756A55" w:rsidRPr="009152C0">
              <w:rPr>
                <w:rStyle w:val="Hyperlink"/>
                <w:rFonts w:ascii="Arial" w:hAnsi="Arial" w:cs="Arial"/>
                <w:noProof/>
              </w:rPr>
              <w:t>References</w:t>
            </w:r>
            <w:r w:rsidR="00756A55">
              <w:rPr>
                <w:noProof/>
                <w:webHidden/>
              </w:rPr>
              <w:tab/>
            </w:r>
            <w:r w:rsidR="00756A55">
              <w:rPr>
                <w:noProof/>
                <w:webHidden/>
              </w:rPr>
              <w:fldChar w:fldCharType="begin"/>
            </w:r>
            <w:r w:rsidR="00756A55">
              <w:rPr>
                <w:noProof/>
                <w:webHidden/>
              </w:rPr>
              <w:instrText xml:space="preserve"> PAGEREF _Toc70943224 \h </w:instrText>
            </w:r>
            <w:r w:rsidR="00756A55">
              <w:rPr>
                <w:noProof/>
                <w:webHidden/>
              </w:rPr>
            </w:r>
            <w:r w:rsidR="00756A55">
              <w:rPr>
                <w:noProof/>
                <w:webHidden/>
              </w:rPr>
              <w:fldChar w:fldCharType="separate"/>
            </w:r>
            <w:r w:rsidR="00866FE1">
              <w:rPr>
                <w:noProof/>
                <w:webHidden/>
              </w:rPr>
              <w:t>8</w:t>
            </w:r>
            <w:r w:rsidR="00756A55">
              <w:rPr>
                <w:noProof/>
                <w:webHidden/>
              </w:rPr>
              <w:fldChar w:fldCharType="end"/>
            </w:r>
          </w:hyperlink>
        </w:p>
        <w:p w14:paraId="33999FCC" w14:textId="0E1D5462" w:rsidR="00A705E7" w:rsidRDefault="00A705E7">
          <w:r>
            <w:rPr>
              <w:b/>
              <w:bCs/>
              <w:noProof/>
            </w:rPr>
            <w:fldChar w:fldCharType="end"/>
          </w:r>
        </w:p>
      </w:sdtContent>
    </w:sdt>
    <w:p w14:paraId="142CF176" w14:textId="68BAD3E3" w:rsidR="00572F4C" w:rsidRDefault="00572F4C" w:rsidP="008C697D">
      <w:pPr>
        <w:pStyle w:val="ListParagraph"/>
        <w:ind w:left="360"/>
        <w:jc w:val="both"/>
        <w:rPr>
          <w:rFonts w:ascii="Garamond" w:hAnsi="Garamond" w:cs="Arial"/>
          <w:lang w:val="en-US"/>
        </w:rPr>
      </w:pPr>
    </w:p>
    <w:p w14:paraId="625F8F31" w14:textId="5D69E10F" w:rsidR="00572F4C" w:rsidRDefault="00572F4C" w:rsidP="008C697D">
      <w:pPr>
        <w:pStyle w:val="ListParagraph"/>
        <w:ind w:left="360"/>
        <w:jc w:val="both"/>
        <w:rPr>
          <w:rFonts w:ascii="Garamond" w:hAnsi="Garamond" w:cs="Arial"/>
          <w:lang w:val="en-US"/>
        </w:rPr>
      </w:pPr>
    </w:p>
    <w:p w14:paraId="41EBD3F7" w14:textId="41F9956A" w:rsidR="00572F4C" w:rsidRDefault="00572F4C" w:rsidP="008C697D">
      <w:pPr>
        <w:pStyle w:val="ListParagraph"/>
        <w:ind w:left="360"/>
        <w:jc w:val="both"/>
        <w:rPr>
          <w:rFonts w:ascii="Garamond" w:hAnsi="Garamond" w:cs="Arial"/>
          <w:lang w:val="en-US"/>
        </w:rPr>
      </w:pPr>
    </w:p>
    <w:p w14:paraId="1EE5D0B0" w14:textId="7782F386" w:rsidR="00572F4C" w:rsidRDefault="00572F4C" w:rsidP="008C697D">
      <w:pPr>
        <w:pStyle w:val="ListParagraph"/>
        <w:ind w:left="360"/>
        <w:jc w:val="both"/>
        <w:rPr>
          <w:rFonts w:ascii="Garamond" w:hAnsi="Garamond" w:cs="Arial"/>
          <w:lang w:val="en-US"/>
        </w:rPr>
      </w:pPr>
    </w:p>
    <w:p w14:paraId="75C55330" w14:textId="7945CE63" w:rsidR="00572F4C" w:rsidRDefault="00572F4C" w:rsidP="008C697D">
      <w:pPr>
        <w:pStyle w:val="ListParagraph"/>
        <w:ind w:left="360"/>
        <w:jc w:val="both"/>
        <w:rPr>
          <w:rFonts w:ascii="Garamond" w:hAnsi="Garamond" w:cs="Arial"/>
          <w:lang w:val="en-US"/>
        </w:rPr>
      </w:pPr>
    </w:p>
    <w:p w14:paraId="060BABA6" w14:textId="369A4C95" w:rsidR="00572F4C" w:rsidRDefault="00572F4C" w:rsidP="008C697D">
      <w:pPr>
        <w:pStyle w:val="ListParagraph"/>
        <w:ind w:left="360"/>
        <w:jc w:val="both"/>
        <w:rPr>
          <w:rFonts w:ascii="Garamond" w:hAnsi="Garamond" w:cs="Arial"/>
          <w:lang w:val="en-US"/>
        </w:rPr>
      </w:pPr>
    </w:p>
    <w:p w14:paraId="5878CF23" w14:textId="0FA6503F" w:rsidR="00572F4C" w:rsidRDefault="00572F4C" w:rsidP="008C697D">
      <w:pPr>
        <w:pStyle w:val="ListParagraph"/>
        <w:ind w:left="360"/>
        <w:jc w:val="both"/>
        <w:rPr>
          <w:rFonts w:ascii="Garamond" w:hAnsi="Garamond" w:cs="Arial"/>
          <w:lang w:val="en-US"/>
        </w:rPr>
      </w:pPr>
    </w:p>
    <w:p w14:paraId="7A614046" w14:textId="6455AD15" w:rsidR="00572F4C" w:rsidRDefault="00572F4C" w:rsidP="008C697D">
      <w:pPr>
        <w:pStyle w:val="ListParagraph"/>
        <w:ind w:left="360"/>
        <w:jc w:val="both"/>
        <w:rPr>
          <w:rFonts w:ascii="Garamond" w:hAnsi="Garamond" w:cs="Arial"/>
          <w:lang w:val="en-US"/>
        </w:rPr>
      </w:pPr>
    </w:p>
    <w:p w14:paraId="45DDE7D4" w14:textId="32B46C46" w:rsidR="00572F4C" w:rsidRDefault="00572F4C" w:rsidP="008C697D">
      <w:pPr>
        <w:pStyle w:val="ListParagraph"/>
        <w:ind w:left="360"/>
        <w:jc w:val="both"/>
        <w:rPr>
          <w:rFonts w:ascii="Garamond" w:hAnsi="Garamond" w:cs="Arial"/>
          <w:lang w:val="en-US"/>
        </w:rPr>
      </w:pPr>
    </w:p>
    <w:p w14:paraId="4EAA822F" w14:textId="507795CB" w:rsidR="00572F4C" w:rsidRDefault="00572F4C" w:rsidP="008C697D">
      <w:pPr>
        <w:pStyle w:val="ListParagraph"/>
        <w:ind w:left="360"/>
        <w:jc w:val="both"/>
        <w:rPr>
          <w:rFonts w:ascii="Garamond" w:hAnsi="Garamond" w:cs="Arial"/>
          <w:lang w:val="en-US"/>
        </w:rPr>
      </w:pPr>
    </w:p>
    <w:p w14:paraId="16BA5CC6" w14:textId="52F04F60" w:rsidR="00572F4C" w:rsidRDefault="00572F4C" w:rsidP="008C697D">
      <w:pPr>
        <w:pStyle w:val="ListParagraph"/>
        <w:ind w:left="360"/>
        <w:jc w:val="both"/>
        <w:rPr>
          <w:rFonts w:ascii="Garamond" w:hAnsi="Garamond" w:cs="Arial"/>
          <w:lang w:val="en-US"/>
        </w:rPr>
      </w:pPr>
    </w:p>
    <w:p w14:paraId="6821EC44" w14:textId="652B0B60" w:rsidR="00572F4C" w:rsidRDefault="00572F4C" w:rsidP="008C697D">
      <w:pPr>
        <w:pStyle w:val="ListParagraph"/>
        <w:ind w:left="360"/>
        <w:jc w:val="both"/>
        <w:rPr>
          <w:rFonts w:ascii="Garamond" w:hAnsi="Garamond" w:cs="Arial"/>
          <w:lang w:val="en-US"/>
        </w:rPr>
      </w:pPr>
    </w:p>
    <w:p w14:paraId="3F60612E" w14:textId="39185FE8" w:rsidR="00572F4C" w:rsidRDefault="00572F4C" w:rsidP="008C697D">
      <w:pPr>
        <w:pStyle w:val="ListParagraph"/>
        <w:ind w:left="360"/>
        <w:jc w:val="both"/>
        <w:rPr>
          <w:rFonts w:ascii="Garamond" w:hAnsi="Garamond" w:cs="Arial"/>
          <w:lang w:val="en-US"/>
        </w:rPr>
      </w:pPr>
    </w:p>
    <w:p w14:paraId="77242011" w14:textId="0C040BB2" w:rsidR="00572F4C" w:rsidRDefault="00572F4C" w:rsidP="008C697D">
      <w:pPr>
        <w:pStyle w:val="ListParagraph"/>
        <w:ind w:left="360"/>
        <w:jc w:val="both"/>
        <w:rPr>
          <w:rFonts w:ascii="Garamond" w:hAnsi="Garamond" w:cs="Arial"/>
          <w:lang w:val="en-US"/>
        </w:rPr>
      </w:pPr>
    </w:p>
    <w:p w14:paraId="12415EEB" w14:textId="68A94422" w:rsidR="00572F4C" w:rsidRDefault="00572F4C" w:rsidP="008C697D">
      <w:pPr>
        <w:pStyle w:val="ListParagraph"/>
        <w:ind w:left="360"/>
        <w:jc w:val="both"/>
        <w:rPr>
          <w:rFonts w:ascii="Garamond" w:hAnsi="Garamond" w:cs="Arial"/>
          <w:lang w:val="en-US"/>
        </w:rPr>
      </w:pPr>
    </w:p>
    <w:p w14:paraId="40A7CB6E" w14:textId="2EA8982E" w:rsidR="00572F4C" w:rsidRDefault="00572F4C" w:rsidP="008C697D">
      <w:pPr>
        <w:pStyle w:val="ListParagraph"/>
        <w:ind w:left="360"/>
        <w:jc w:val="both"/>
        <w:rPr>
          <w:rFonts w:ascii="Garamond" w:hAnsi="Garamond" w:cs="Arial"/>
          <w:lang w:val="en-US"/>
        </w:rPr>
      </w:pPr>
    </w:p>
    <w:p w14:paraId="14E2D61C" w14:textId="03ECBE7A" w:rsidR="00572F4C" w:rsidRDefault="00572F4C" w:rsidP="008C697D">
      <w:pPr>
        <w:pStyle w:val="ListParagraph"/>
        <w:ind w:left="360"/>
        <w:jc w:val="both"/>
        <w:rPr>
          <w:rFonts w:ascii="Garamond" w:hAnsi="Garamond" w:cs="Arial"/>
          <w:lang w:val="en-US"/>
        </w:rPr>
      </w:pPr>
    </w:p>
    <w:p w14:paraId="2C53F403" w14:textId="77C4BC96" w:rsidR="00572F4C" w:rsidRDefault="00572F4C">
      <w:pPr>
        <w:spacing w:after="0" w:line="240" w:lineRule="auto"/>
        <w:rPr>
          <w:rFonts w:ascii="Garamond" w:hAnsi="Garamond" w:cs="Arial"/>
          <w:lang w:val="en-US"/>
        </w:rPr>
      </w:pPr>
      <w:r>
        <w:rPr>
          <w:rFonts w:ascii="Garamond" w:hAnsi="Garamond" w:cs="Arial"/>
          <w:lang w:val="en-US"/>
        </w:rPr>
        <w:br w:type="page"/>
      </w:r>
    </w:p>
    <w:p w14:paraId="2EA20609" w14:textId="77777777" w:rsidR="00572F4C" w:rsidRDefault="00572F4C" w:rsidP="008C697D">
      <w:pPr>
        <w:pStyle w:val="ListParagraph"/>
        <w:ind w:left="360"/>
        <w:jc w:val="both"/>
        <w:rPr>
          <w:rFonts w:ascii="Garamond" w:hAnsi="Garamond" w:cs="Arial"/>
          <w:lang w:val="en-US"/>
        </w:rPr>
        <w:sectPr w:rsidR="00572F4C" w:rsidSect="00572F4C">
          <w:pgSz w:w="11906" w:h="16838"/>
          <w:pgMar w:top="1260" w:right="1440" w:bottom="1440" w:left="1440" w:header="720" w:footer="720" w:gutter="0"/>
          <w:pgNumType w:fmt="lowerRoman" w:start="1"/>
          <w:cols w:space="720"/>
          <w:titlePg/>
          <w:docGrid w:linePitch="360"/>
        </w:sectPr>
      </w:pPr>
    </w:p>
    <w:p w14:paraId="6F0F14B8" w14:textId="59C7749C" w:rsidR="00A14108" w:rsidRPr="00332951" w:rsidRDefault="00A14108" w:rsidP="001A7612">
      <w:pPr>
        <w:pStyle w:val="Heading1"/>
        <w:numPr>
          <w:ilvl w:val="0"/>
          <w:numId w:val="11"/>
        </w:numPr>
        <w:spacing w:before="0" w:after="160" w:line="276" w:lineRule="auto"/>
        <w:rPr>
          <w:rFonts w:ascii="Arial" w:hAnsi="Arial" w:cs="Arial"/>
          <w:sz w:val="22"/>
          <w:szCs w:val="22"/>
        </w:rPr>
      </w:pPr>
      <w:bookmarkStart w:id="8" w:name="_Toc70943214"/>
      <w:r w:rsidRPr="00332951">
        <w:rPr>
          <w:rFonts w:ascii="Arial" w:hAnsi="Arial" w:cs="Arial"/>
          <w:sz w:val="22"/>
          <w:szCs w:val="22"/>
        </w:rPr>
        <w:lastRenderedPageBreak/>
        <w:t>Background</w:t>
      </w:r>
      <w:bookmarkEnd w:id="8"/>
    </w:p>
    <w:p w14:paraId="63A4AC72" w14:textId="1AD41919" w:rsidR="00D16B5B" w:rsidRDefault="00D16B5B" w:rsidP="001A7612">
      <w:pPr>
        <w:spacing w:after="160"/>
        <w:jc w:val="both"/>
        <w:rPr>
          <w:rFonts w:ascii="Arial" w:hAnsi="Arial" w:cs="Arial"/>
          <w:lang w:val="en-US"/>
        </w:rPr>
      </w:pPr>
      <w:r w:rsidRPr="00332951">
        <w:rPr>
          <w:rFonts w:ascii="Arial" w:hAnsi="Arial" w:cs="Arial"/>
          <w:lang w:val="en-US"/>
        </w:rPr>
        <w:t xml:space="preserve">This report presents macroeconomic developments in the COMESA region </w:t>
      </w:r>
      <w:r w:rsidR="007B1F7D" w:rsidRPr="00332951">
        <w:rPr>
          <w:rFonts w:ascii="Arial" w:hAnsi="Arial" w:cs="Arial"/>
          <w:lang w:val="en-US"/>
        </w:rPr>
        <w:t>in</w:t>
      </w:r>
      <w:r w:rsidR="004B7018" w:rsidRPr="00332951">
        <w:rPr>
          <w:rFonts w:ascii="Arial" w:hAnsi="Arial" w:cs="Arial"/>
          <w:bCs/>
          <w:lang w:val="en-US"/>
        </w:rPr>
        <w:t xml:space="preserve"> </w:t>
      </w:r>
      <w:r w:rsidRPr="00332951">
        <w:rPr>
          <w:rFonts w:ascii="Arial" w:hAnsi="Arial" w:cs="Arial"/>
          <w:lang w:val="en-US"/>
        </w:rPr>
        <w:t>2020</w:t>
      </w:r>
      <w:r w:rsidR="007B1F7D" w:rsidRPr="00332951">
        <w:rPr>
          <w:rFonts w:ascii="Arial" w:hAnsi="Arial" w:cs="Arial"/>
          <w:lang w:val="en-US"/>
        </w:rPr>
        <w:t xml:space="preserve">, </w:t>
      </w:r>
      <w:r w:rsidR="00361C86">
        <w:rPr>
          <w:rFonts w:ascii="Arial" w:hAnsi="Arial" w:cs="Arial"/>
          <w:lang w:val="en-US"/>
        </w:rPr>
        <w:t xml:space="preserve">a </w:t>
      </w:r>
      <w:r w:rsidR="007B1F7D" w:rsidRPr="00332951">
        <w:rPr>
          <w:rFonts w:ascii="Arial" w:hAnsi="Arial" w:cs="Arial"/>
          <w:lang w:val="en-US"/>
        </w:rPr>
        <w:t xml:space="preserve">year which was negatively impacted by COVID-19 pandemic. </w:t>
      </w:r>
      <w:r w:rsidRPr="00332951">
        <w:rPr>
          <w:rFonts w:ascii="Arial" w:hAnsi="Arial" w:cs="Arial"/>
          <w:lang w:val="en-US"/>
        </w:rPr>
        <w:t>It analyses developments in key macro-economic performance indicators in the region</w:t>
      </w:r>
      <w:r w:rsidR="00361C86">
        <w:rPr>
          <w:rFonts w:ascii="Arial" w:hAnsi="Arial" w:cs="Arial"/>
          <w:lang w:val="en-US"/>
        </w:rPr>
        <w:t xml:space="preserve">, </w:t>
      </w:r>
      <w:r w:rsidRPr="00332951">
        <w:rPr>
          <w:rFonts w:ascii="Arial" w:hAnsi="Arial" w:cs="Arial"/>
          <w:lang w:val="en-US"/>
        </w:rPr>
        <w:t xml:space="preserve">assesses the </w:t>
      </w:r>
      <w:r w:rsidR="007B1F7D" w:rsidRPr="00332951">
        <w:rPr>
          <w:rFonts w:ascii="Arial" w:hAnsi="Arial" w:cs="Arial"/>
          <w:lang w:val="en-US"/>
        </w:rPr>
        <w:t>medium-term</w:t>
      </w:r>
      <w:r w:rsidRPr="00332951">
        <w:rPr>
          <w:rFonts w:ascii="Arial" w:hAnsi="Arial" w:cs="Arial"/>
          <w:lang w:val="en-US"/>
        </w:rPr>
        <w:t xml:space="preserve"> prospects</w:t>
      </w:r>
      <w:r w:rsidR="00361C86">
        <w:rPr>
          <w:rFonts w:ascii="Arial" w:hAnsi="Arial" w:cs="Arial"/>
          <w:lang w:val="en-US"/>
        </w:rPr>
        <w:t>,</w:t>
      </w:r>
      <w:r w:rsidR="00453492" w:rsidRPr="00332951">
        <w:rPr>
          <w:rFonts w:ascii="Arial" w:hAnsi="Arial" w:cs="Arial"/>
          <w:lang w:val="en-US"/>
        </w:rPr>
        <w:t xml:space="preserve"> and provides policy recommendations in the short-to-medium term in the face of COVID-19 pandemic.</w:t>
      </w:r>
      <w:r w:rsidR="00A14108" w:rsidRPr="00332951">
        <w:rPr>
          <w:rFonts w:ascii="Arial" w:hAnsi="Arial" w:cs="Arial"/>
          <w:lang w:val="en-US"/>
        </w:rPr>
        <w:t xml:space="preserve"> </w:t>
      </w:r>
      <w:r w:rsidR="007B1F7D" w:rsidRPr="00332951">
        <w:rPr>
          <w:rFonts w:ascii="Arial" w:hAnsi="Arial" w:cs="Arial"/>
          <w:lang w:val="en-US"/>
        </w:rPr>
        <w:t>And i</w:t>
      </w:r>
      <w:r w:rsidR="00A14108" w:rsidRPr="00332951">
        <w:rPr>
          <w:rFonts w:ascii="Arial" w:hAnsi="Arial" w:cs="Arial"/>
          <w:lang w:val="en-US"/>
        </w:rPr>
        <w:t>n addition, discusses the risks to the outlook</w:t>
      </w:r>
      <w:r w:rsidR="00453492" w:rsidRPr="00332951">
        <w:rPr>
          <w:rFonts w:ascii="Arial" w:hAnsi="Arial" w:cs="Arial"/>
          <w:lang w:val="en-US"/>
        </w:rPr>
        <w:t>.</w:t>
      </w:r>
      <w:r w:rsidR="00A14108" w:rsidRPr="00332951">
        <w:rPr>
          <w:rFonts w:ascii="Arial" w:hAnsi="Arial" w:cs="Arial"/>
          <w:lang w:val="en-US"/>
        </w:rPr>
        <w:t xml:space="preserve"> </w:t>
      </w:r>
    </w:p>
    <w:p w14:paraId="55D382D6" w14:textId="77777777" w:rsidR="00361C86" w:rsidRPr="00332951" w:rsidRDefault="00361C86" w:rsidP="001A7612">
      <w:pPr>
        <w:spacing w:after="160"/>
        <w:jc w:val="both"/>
        <w:rPr>
          <w:rFonts w:ascii="Arial" w:hAnsi="Arial" w:cs="Arial"/>
          <w:lang w:val="en-US"/>
        </w:rPr>
      </w:pPr>
    </w:p>
    <w:p w14:paraId="70CCB6AB" w14:textId="6F3B2B46" w:rsidR="00A37D3B" w:rsidRPr="00332951" w:rsidRDefault="00B14CAE" w:rsidP="005142A8">
      <w:pPr>
        <w:pStyle w:val="Heading1"/>
        <w:numPr>
          <w:ilvl w:val="0"/>
          <w:numId w:val="10"/>
        </w:numPr>
        <w:spacing w:before="0" w:after="200" w:line="276" w:lineRule="auto"/>
        <w:rPr>
          <w:rFonts w:ascii="Arial" w:hAnsi="Arial" w:cs="Arial"/>
          <w:sz w:val="22"/>
          <w:szCs w:val="22"/>
        </w:rPr>
      </w:pPr>
      <w:bookmarkStart w:id="9" w:name="_Toc505769853"/>
      <w:bookmarkStart w:id="10" w:name="_Toc70943215"/>
      <w:r w:rsidRPr="00332951">
        <w:rPr>
          <w:rFonts w:ascii="Arial" w:hAnsi="Arial" w:cs="Arial"/>
          <w:sz w:val="22"/>
          <w:szCs w:val="22"/>
        </w:rPr>
        <w:t>Growth</w:t>
      </w:r>
      <w:bookmarkEnd w:id="9"/>
      <w:bookmarkEnd w:id="10"/>
    </w:p>
    <w:p w14:paraId="6A618ED8" w14:textId="5C9E0A13" w:rsidR="00A705E7" w:rsidRDefault="002B20D3" w:rsidP="00BB3545">
      <w:pPr>
        <w:jc w:val="both"/>
        <w:rPr>
          <w:rFonts w:ascii="Arial" w:hAnsi="Arial" w:cs="Arial"/>
          <w:lang w:val="en-US"/>
        </w:rPr>
      </w:pPr>
      <w:r w:rsidRPr="00332951">
        <w:rPr>
          <w:rFonts w:ascii="Arial" w:hAnsi="Arial" w:cs="Arial"/>
          <w:lang w:val="en-US"/>
        </w:rPr>
        <w:t xml:space="preserve">COMESA region’s average growth </w:t>
      </w:r>
      <w:r w:rsidR="00000494" w:rsidRPr="00332951">
        <w:rPr>
          <w:rFonts w:ascii="Arial" w:hAnsi="Arial" w:cs="Arial"/>
          <w:lang w:val="en-US"/>
        </w:rPr>
        <w:t>contracted sharply in 2020</w:t>
      </w:r>
      <w:r w:rsidR="0042500C" w:rsidRPr="00332951">
        <w:rPr>
          <w:rFonts w:ascii="Arial" w:hAnsi="Arial" w:cs="Arial"/>
          <w:lang w:val="en-US"/>
        </w:rPr>
        <w:t xml:space="preserve">, </w:t>
      </w:r>
      <w:r w:rsidR="0049499E" w:rsidRPr="00332951">
        <w:rPr>
          <w:rFonts w:ascii="Arial" w:hAnsi="Arial" w:cs="Arial"/>
          <w:lang w:val="en-US"/>
        </w:rPr>
        <w:t>shrinking by -5.</w:t>
      </w:r>
      <w:r w:rsidR="00642CA6" w:rsidRPr="00332951">
        <w:rPr>
          <w:rFonts w:ascii="Arial" w:hAnsi="Arial" w:cs="Arial"/>
          <w:lang w:val="en-US"/>
        </w:rPr>
        <w:t>4</w:t>
      </w:r>
      <w:r w:rsidR="0049499E" w:rsidRPr="00332951">
        <w:rPr>
          <w:rFonts w:ascii="Arial" w:hAnsi="Arial" w:cs="Arial"/>
          <w:lang w:val="en-US"/>
        </w:rPr>
        <w:t xml:space="preserve"> percent</w:t>
      </w:r>
      <w:r w:rsidR="00885F93" w:rsidRPr="00332951">
        <w:rPr>
          <w:rFonts w:ascii="Arial" w:hAnsi="Arial" w:cs="Arial"/>
          <w:lang w:val="en-US"/>
        </w:rPr>
        <w:t>age points</w:t>
      </w:r>
      <w:r w:rsidR="0049499E" w:rsidRPr="00332951">
        <w:rPr>
          <w:rFonts w:ascii="Arial" w:hAnsi="Arial" w:cs="Arial"/>
          <w:lang w:val="en-US"/>
        </w:rPr>
        <w:t xml:space="preserve"> to </w:t>
      </w:r>
      <w:r w:rsidR="00000494" w:rsidRPr="00332951">
        <w:rPr>
          <w:rFonts w:ascii="Arial" w:hAnsi="Arial" w:cs="Arial"/>
          <w:lang w:val="en-US"/>
        </w:rPr>
        <w:t>0</w:t>
      </w:r>
      <w:r w:rsidR="00C24A8B" w:rsidRPr="00332951">
        <w:rPr>
          <w:rFonts w:ascii="Arial" w:hAnsi="Arial" w:cs="Arial"/>
          <w:lang w:val="en-US"/>
        </w:rPr>
        <w:t>.2</w:t>
      </w:r>
      <w:r w:rsidR="00000494" w:rsidRPr="00332951">
        <w:rPr>
          <w:rFonts w:ascii="Arial" w:hAnsi="Arial" w:cs="Arial"/>
          <w:lang w:val="en-US"/>
        </w:rPr>
        <w:t xml:space="preserve">%, </w:t>
      </w:r>
      <w:r w:rsidR="00591847" w:rsidRPr="00332951">
        <w:rPr>
          <w:rFonts w:ascii="Arial" w:hAnsi="Arial" w:cs="Arial"/>
          <w:lang w:val="en-US"/>
        </w:rPr>
        <w:t>from</w:t>
      </w:r>
      <w:r w:rsidRPr="00332951">
        <w:rPr>
          <w:rFonts w:ascii="Arial" w:hAnsi="Arial" w:cs="Arial"/>
          <w:lang w:val="en-US"/>
        </w:rPr>
        <w:t xml:space="preserve"> </w:t>
      </w:r>
      <w:r w:rsidR="00C24A8B" w:rsidRPr="00332951">
        <w:rPr>
          <w:rFonts w:ascii="Arial" w:hAnsi="Arial" w:cs="Arial"/>
          <w:lang w:val="en-US"/>
        </w:rPr>
        <w:t>5.6</w:t>
      </w:r>
      <w:r w:rsidRPr="00332951">
        <w:rPr>
          <w:rFonts w:ascii="Arial" w:hAnsi="Arial" w:cs="Arial"/>
          <w:lang w:val="en-US"/>
        </w:rPr>
        <w:t>% in 201</w:t>
      </w:r>
      <w:r w:rsidR="00000494" w:rsidRPr="00332951">
        <w:rPr>
          <w:rFonts w:ascii="Arial" w:hAnsi="Arial" w:cs="Arial"/>
          <w:lang w:val="en-US"/>
        </w:rPr>
        <w:t xml:space="preserve">9, but is </w:t>
      </w:r>
      <w:r w:rsidRPr="00332951">
        <w:rPr>
          <w:rFonts w:ascii="Arial" w:hAnsi="Arial" w:cs="Arial"/>
          <w:lang w:val="en-US"/>
        </w:rPr>
        <w:t xml:space="preserve">projected to </w:t>
      </w:r>
      <w:r w:rsidR="00000494" w:rsidRPr="00332951">
        <w:rPr>
          <w:rFonts w:ascii="Arial" w:hAnsi="Arial" w:cs="Arial"/>
          <w:lang w:val="en-US"/>
        </w:rPr>
        <w:t xml:space="preserve">rebound </w:t>
      </w:r>
      <w:r w:rsidR="00C24A8B" w:rsidRPr="00332951">
        <w:rPr>
          <w:rFonts w:ascii="Arial" w:hAnsi="Arial" w:cs="Arial"/>
          <w:lang w:val="en-US"/>
        </w:rPr>
        <w:t xml:space="preserve">in the outer years </w:t>
      </w:r>
      <w:r w:rsidR="00000494" w:rsidRPr="00332951">
        <w:rPr>
          <w:rFonts w:ascii="Arial" w:hAnsi="Arial" w:cs="Arial"/>
          <w:lang w:val="en-US"/>
        </w:rPr>
        <w:t>t</w:t>
      </w:r>
      <w:r w:rsidRPr="00332951">
        <w:rPr>
          <w:rFonts w:ascii="Arial" w:hAnsi="Arial" w:cs="Arial"/>
          <w:lang w:val="en-US"/>
        </w:rPr>
        <w:t xml:space="preserve">o </w:t>
      </w:r>
      <w:r w:rsidR="00C24A8B" w:rsidRPr="00332951">
        <w:rPr>
          <w:rFonts w:ascii="Arial" w:hAnsi="Arial" w:cs="Arial"/>
          <w:lang w:val="en-US"/>
        </w:rPr>
        <w:t xml:space="preserve">4.3% and 6.0% </w:t>
      </w:r>
      <w:r w:rsidRPr="00332951">
        <w:rPr>
          <w:rFonts w:ascii="Arial" w:hAnsi="Arial" w:cs="Arial"/>
          <w:lang w:val="en-US"/>
        </w:rPr>
        <w:t>in 20</w:t>
      </w:r>
      <w:r w:rsidR="00E4327E" w:rsidRPr="00332951">
        <w:rPr>
          <w:rFonts w:ascii="Arial" w:hAnsi="Arial" w:cs="Arial"/>
          <w:lang w:val="en-US"/>
        </w:rPr>
        <w:t>2</w:t>
      </w:r>
      <w:r w:rsidR="00000494" w:rsidRPr="00332951">
        <w:rPr>
          <w:rFonts w:ascii="Arial" w:hAnsi="Arial" w:cs="Arial"/>
          <w:lang w:val="en-US"/>
        </w:rPr>
        <w:t>1</w:t>
      </w:r>
      <w:r w:rsidR="00C24A8B" w:rsidRPr="00332951">
        <w:rPr>
          <w:rFonts w:ascii="Arial" w:hAnsi="Arial" w:cs="Arial"/>
          <w:lang w:val="en-US"/>
        </w:rPr>
        <w:t xml:space="preserve"> and 2022, respectively</w:t>
      </w:r>
      <w:r w:rsidRPr="00332951">
        <w:rPr>
          <w:rFonts w:ascii="Arial" w:hAnsi="Arial" w:cs="Arial"/>
          <w:lang w:val="en-US"/>
        </w:rPr>
        <w:t xml:space="preserve">. </w:t>
      </w:r>
      <w:r w:rsidR="00BB3545">
        <w:rPr>
          <w:rFonts w:ascii="Arial" w:hAnsi="Arial" w:cs="Arial"/>
          <w:lang w:val="en-US"/>
        </w:rPr>
        <w:t xml:space="preserve">This is attributed to the fact that </w:t>
      </w:r>
      <w:r w:rsidR="00880143" w:rsidRPr="00332951">
        <w:rPr>
          <w:rFonts w:ascii="Arial" w:hAnsi="Arial" w:cs="Arial"/>
          <w:lang w:val="en-US"/>
        </w:rPr>
        <w:t xml:space="preserve">growth </w:t>
      </w:r>
      <w:r w:rsidR="004B7018" w:rsidRPr="00332951">
        <w:rPr>
          <w:rFonts w:ascii="Arial" w:hAnsi="Arial" w:cs="Arial"/>
          <w:lang w:val="en-US"/>
        </w:rPr>
        <w:t xml:space="preserve">plummeted </w:t>
      </w:r>
      <w:r w:rsidR="00880143" w:rsidRPr="00332951">
        <w:rPr>
          <w:rFonts w:ascii="Arial" w:hAnsi="Arial" w:cs="Arial"/>
          <w:lang w:val="en-US"/>
        </w:rPr>
        <w:t xml:space="preserve">to negative levels </w:t>
      </w:r>
      <w:r w:rsidR="00BB3545">
        <w:rPr>
          <w:rFonts w:ascii="Arial" w:hAnsi="Arial" w:cs="Arial"/>
          <w:lang w:val="en-US"/>
        </w:rPr>
        <w:t>in a number of COMESA member countries</w:t>
      </w:r>
    </w:p>
    <w:p w14:paraId="30C0CA7D" w14:textId="2F5B800A" w:rsidR="00873A62" w:rsidRPr="00332951" w:rsidRDefault="00141EC4" w:rsidP="005142A8">
      <w:pPr>
        <w:jc w:val="both"/>
        <w:rPr>
          <w:rFonts w:ascii="Arial" w:hAnsi="Arial" w:cs="Arial"/>
          <w:lang w:val="en-US"/>
        </w:rPr>
      </w:pPr>
      <w:r w:rsidRPr="00332951">
        <w:rPr>
          <w:rFonts w:ascii="Arial" w:hAnsi="Arial" w:cs="Arial"/>
          <w:lang w:val="en-US"/>
        </w:rPr>
        <w:t>G</w:t>
      </w:r>
      <w:r w:rsidR="0001446F" w:rsidRPr="00332951">
        <w:rPr>
          <w:rFonts w:ascii="Arial" w:hAnsi="Arial" w:cs="Arial"/>
          <w:lang w:val="en-US"/>
        </w:rPr>
        <w:t xml:space="preserve">rowth outcome in 2020 was </w:t>
      </w:r>
      <w:r w:rsidR="007B1F7D" w:rsidRPr="00332951">
        <w:rPr>
          <w:rFonts w:ascii="Arial" w:hAnsi="Arial" w:cs="Arial"/>
          <w:lang w:val="en-US"/>
        </w:rPr>
        <w:t xml:space="preserve">negatively impacted </w:t>
      </w:r>
      <w:r w:rsidR="0042500C" w:rsidRPr="00332951">
        <w:rPr>
          <w:rFonts w:ascii="Arial" w:hAnsi="Arial" w:cs="Arial"/>
          <w:lang w:val="en-US"/>
        </w:rPr>
        <w:t xml:space="preserve">by </w:t>
      </w:r>
      <w:r w:rsidR="0001446F" w:rsidRPr="00332951">
        <w:rPr>
          <w:rFonts w:ascii="Arial" w:hAnsi="Arial" w:cs="Arial"/>
          <w:lang w:val="en-US"/>
        </w:rPr>
        <w:t>the COVID-19 induced health and economic crisis since the commencement of the year</w:t>
      </w:r>
      <w:r w:rsidR="0042500C" w:rsidRPr="00332951">
        <w:rPr>
          <w:rFonts w:ascii="Arial" w:hAnsi="Arial" w:cs="Arial"/>
          <w:lang w:val="en-US"/>
        </w:rPr>
        <w:t xml:space="preserve"> under review, including</w:t>
      </w:r>
      <w:r w:rsidR="00C20F41">
        <w:rPr>
          <w:rFonts w:ascii="Arial" w:hAnsi="Arial" w:cs="Arial"/>
          <w:lang w:val="en-US"/>
        </w:rPr>
        <w:t>, among others</w:t>
      </w:r>
      <w:r w:rsidR="00361C86">
        <w:rPr>
          <w:rFonts w:ascii="Arial" w:hAnsi="Arial" w:cs="Arial"/>
          <w:lang w:val="en-US"/>
        </w:rPr>
        <w:t>,</w:t>
      </w:r>
      <w:r w:rsidR="00C20F41">
        <w:rPr>
          <w:rFonts w:ascii="Arial" w:hAnsi="Arial" w:cs="Arial"/>
          <w:lang w:val="en-US"/>
        </w:rPr>
        <w:t xml:space="preserve"> the following:</w:t>
      </w:r>
      <w:r w:rsidR="007B1F7D" w:rsidRPr="00332951">
        <w:rPr>
          <w:rFonts w:ascii="Arial" w:hAnsi="Arial" w:cs="Arial"/>
          <w:lang w:val="en-US"/>
        </w:rPr>
        <w:t xml:space="preserve"> </w:t>
      </w:r>
      <w:r w:rsidR="00C80E49" w:rsidRPr="00332951">
        <w:rPr>
          <w:rFonts w:ascii="Arial" w:hAnsi="Arial" w:cs="Arial"/>
          <w:lang w:val="en-US"/>
        </w:rPr>
        <w:t xml:space="preserve"> </w:t>
      </w:r>
      <w:proofErr w:type="spellStart"/>
      <w:r w:rsidR="00C20F41">
        <w:rPr>
          <w:rFonts w:ascii="Arial" w:hAnsi="Arial" w:cs="Arial"/>
          <w:lang w:val="en-US"/>
        </w:rPr>
        <w:t>i</w:t>
      </w:r>
      <w:proofErr w:type="spellEnd"/>
      <w:r w:rsidR="00C20F41">
        <w:rPr>
          <w:rFonts w:ascii="Arial" w:hAnsi="Arial" w:cs="Arial"/>
          <w:lang w:val="en-US"/>
        </w:rPr>
        <w:t xml:space="preserve">) </w:t>
      </w:r>
      <w:r w:rsidR="00C80E49" w:rsidRPr="00332951">
        <w:rPr>
          <w:rFonts w:ascii="Arial" w:hAnsi="Arial" w:cs="Arial"/>
          <w:lang w:val="en-US"/>
        </w:rPr>
        <w:t>impact of containment measures</w:t>
      </w:r>
      <w:r w:rsidR="0042500C" w:rsidRPr="00332951">
        <w:rPr>
          <w:rFonts w:ascii="Arial" w:hAnsi="Arial" w:cs="Arial"/>
          <w:lang w:val="en-US"/>
        </w:rPr>
        <w:t>—q</w:t>
      </w:r>
      <w:r w:rsidR="00C80E49" w:rsidRPr="00332951">
        <w:rPr>
          <w:rFonts w:ascii="Arial" w:hAnsi="Arial" w:cs="Arial"/>
          <w:lang w:val="en-US"/>
        </w:rPr>
        <w:t xml:space="preserve">uarantine, lockdowns, </w:t>
      </w:r>
      <w:r w:rsidR="007B1F7D" w:rsidRPr="00332951">
        <w:rPr>
          <w:rFonts w:ascii="Arial" w:hAnsi="Arial" w:cs="Arial"/>
          <w:lang w:val="en-US"/>
        </w:rPr>
        <w:t>t</w:t>
      </w:r>
      <w:r w:rsidR="00C80E49" w:rsidRPr="00332951">
        <w:rPr>
          <w:rFonts w:ascii="Arial" w:hAnsi="Arial" w:cs="Arial"/>
          <w:lang w:val="en-US"/>
        </w:rPr>
        <w:t>ravel restrictions, border closures</w:t>
      </w:r>
      <w:r w:rsidR="0042500C" w:rsidRPr="00332951">
        <w:rPr>
          <w:rFonts w:ascii="Arial" w:hAnsi="Arial" w:cs="Arial"/>
          <w:lang w:val="en-US"/>
        </w:rPr>
        <w:t>,</w:t>
      </w:r>
      <w:r w:rsidR="00C80E49" w:rsidRPr="00332951">
        <w:rPr>
          <w:rFonts w:ascii="Arial" w:hAnsi="Arial" w:cs="Arial"/>
          <w:lang w:val="en-US"/>
        </w:rPr>
        <w:t xml:space="preserve"> cancellation</w:t>
      </w:r>
      <w:r w:rsidR="0042500C" w:rsidRPr="00332951">
        <w:rPr>
          <w:rFonts w:ascii="Arial" w:hAnsi="Arial" w:cs="Arial"/>
          <w:lang w:val="en-US"/>
        </w:rPr>
        <w:t>s</w:t>
      </w:r>
      <w:r w:rsidR="00C80E49" w:rsidRPr="00332951">
        <w:rPr>
          <w:rFonts w:ascii="Arial" w:hAnsi="Arial" w:cs="Arial"/>
          <w:lang w:val="en-US"/>
        </w:rPr>
        <w:t xml:space="preserve"> of public gatherings, closing of schools/universities</w:t>
      </w:r>
      <w:r w:rsidR="0042500C" w:rsidRPr="00332951">
        <w:rPr>
          <w:rFonts w:ascii="Arial" w:hAnsi="Arial" w:cs="Arial"/>
          <w:lang w:val="en-US"/>
        </w:rPr>
        <w:t xml:space="preserve">, </w:t>
      </w:r>
      <w:r w:rsidR="00C80E49" w:rsidRPr="00332951">
        <w:rPr>
          <w:rFonts w:ascii="Arial" w:hAnsi="Arial" w:cs="Arial"/>
          <w:lang w:val="en-US"/>
        </w:rPr>
        <w:t>remote working</w:t>
      </w:r>
      <w:r w:rsidR="0042500C" w:rsidRPr="00332951">
        <w:rPr>
          <w:rFonts w:ascii="Arial" w:hAnsi="Arial" w:cs="Arial"/>
          <w:lang w:val="en-US"/>
        </w:rPr>
        <w:t xml:space="preserve">; </w:t>
      </w:r>
      <w:r w:rsidR="007B1F7D" w:rsidRPr="00332951">
        <w:rPr>
          <w:rFonts w:ascii="Arial" w:hAnsi="Arial" w:cs="Arial"/>
          <w:lang w:val="en-US"/>
        </w:rPr>
        <w:t xml:space="preserve">and </w:t>
      </w:r>
      <w:r w:rsidR="0042500C" w:rsidRPr="00332951">
        <w:rPr>
          <w:rFonts w:ascii="Arial" w:hAnsi="Arial" w:cs="Arial"/>
          <w:lang w:val="en-US"/>
        </w:rPr>
        <w:t>the d</w:t>
      </w:r>
      <w:r w:rsidR="00C80E49" w:rsidRPr="00332951">
        <w:rPr>
          <w:rFonts w:ascii="Arial" w:hAnsi="Arial" w:cs="Arial"/>
          <w:lang w:val="en-US"/>
        </w:rPr>
        <w:t xml:space="preserve">ecline in </w:t>
      </w:r>
      <w:r w:rsidR="0042500C" w:rsidRPr="00332951">
        <w:rPr>
          <w:rFonts w:ascii="Arial" w:hAnsi="Arial" w:cs="Arial"/>
          <w:lang w:val="en-US"/>
        </w:rPr>
        <w:t>g</w:t>
      </w:r>
      <w:r w:rsidR="00C80E49" w:rsidRPr="00332951">
        <w:rPr>
          <w:rFonts w:ascii="Arial" w:hAnsi="Arial" w:cs="Arial"/>
          <w:lang w:val="en-US"/>
        </w:rPr>
        <w:t xml:space="preserve">lobal </w:t>
      </w:r>
      <w:r w:rsidR="0042500C" w:rsidRPr="00332951">
        <w:rPr>
          <w:rFonts w:ascii="Arial" w:hAnsi="Arial" w:cs="Arial"/>
          <w:lang w:val="en-US"/>
        </w:rPr>
        <w:t>d</w:t>
      </w:r>
      <w:r w:rsidR="00C80E49" w:rsidRPr="00332951">
        <w:rPr>
          <w:rFonts w:ascii="Arial" w:hAnsi="Arial" w:cs="Arial"/>
          <w:lang w:val="en-US"/>
        </w:rPr>
        <w:t>emand a</w:t>
      </w:r>
      <w:r w:rsidR="0042500C" w:rsidRPr="00332951">
        <w:rPr>
          <w:rFonts w:ascii="Arial" w:hAnsi="Arial" w:cs="Arial"/>
          <w:lang w:val="en-US"/>
        </w:rPr>
        <w:t xml:space="preserve">s well as </w:t>
      </w:r>
      <w:r w:rsidR="00C80E49" w:rsidRPr="00332951">
        <w:rPr>
          <w:rFonts w:ascii="Arial" w:hAnsi="Arial" w:cs="Arial"/>
          <w:lang w:val="en-US"/>
        </w:rPr>
        <w:t>regional spillovers</w:t>
      </w:r>
      <w:r w:rsidR="0042500C" w:rsidRPr="00332951">
        <w:rPr>
          <w:rFonts w:ascii="Arial" w:hAnsi="Arial" w:cs="Arial"/>
          <w:lang w:val="en-US"/>
        </w:rPr>
        <w:t xml:space="preserve">, </w:t>
      </w:r>
      <w:r w:rsidR="00C80E49" w:rsidRPr="00332951">
        <w:rPr>
          <w:rFonts w:ascii="Arial" w:hAnsi="Arial" w:cs="Arial"/>
          <w:lang w:val="en-US"/>
        </w:rPr>
        <w:t>result</w:t>
      </w:r>
      <w:r w:rsidR="0042500C" w:rsidRPr="00332951">
        <w:rPr>
          <w:rFonts w:ascii="Arial" w:hAnsi="Arial" w:cs="Arial"/>
          <w:lang w:val="en-US"/>
        </w:rPr>
        <w:t xml:space="preserve">ing </w:t>
      </w:r>
      <w:r w:rsidR="00C80E49" w:rsidRPr="00332951">
        <w:rPr>
          <w:rFonts w:ascii="Arial" w:hAnsi="Arial" w:cs="Arial"/>
          <w:lang w:val="en-US"/>
        </w:rPr>
        <w:t>in rapid fall in trade and tourism;</w:t>
      </w:r>
      <w:r w:rsidR="00C20F41">
        <w:rPr>
          <w:rFonts w:ascii="Arial" w:hAnsi="Arial" w:cs="Arial"/>
          <w:lang w:val="en-US"/>
        </w:rPr>
        <w:t xml:space="preserve"> ii) </w:t>
      </w:r>
      <w:r w:rsidR="00C80E49" w:rsidRPr="00332951">
        <w:rPr>
          <w:rFonts w:ascii="Arial" w:hAnsi="Arial" w:cs="Arial"/>
          <w:lang w:val="en-US"/>
        </w:rPr>
        <w:t xml:space="preserve"> </w:t>
      </w:r>
      <w:r w:rsidR="0042500C" w:rsidRPr="00332951">
        <w:rPr>
          <w:rFonts w:ascii="Arial" w:hAnsi="Arial" w:cs="Arial"/>
          <w:lang w:val="en-US"/>
        </w:rPr>
        <w:t>e</w:t>
      </w:r>
      <w:r w:rsidR="00C80E49" w:rsidRPr="00332951">
        <w:rPr>
          <w:rFonts w:ascii="Arial" w:hAnsi="Arial" w:cs="Arial"/>
          <w:lang w:val="en-US"/>
        </w:rPr>
        <w:t>xternal financial constraint</w:t>
      </w:r>
      <w:r w:rsidR="0042500C" w:rsidRPr="00332951">
        <w:rPr>
          <w:rFonts w:ascii="Arial" w:hAnsi="Arial" w:cs="Arial"/>
          <w:lang w:val="en-US"/>
        </w:rPr>
        <w:t xml:space="preserve"> involving c</w:t>
      </w:r>
      <w:r w:rsidR="006E169C" w:rsidRPr="00332951">
        <w:rPr>
          <w:rFonts w:ascii="Arial" w:hAnsi="Arial" w:cs="Arial"/>
          <w:lang w:val="en-US"/>
        </w:rPr>
        <w:t xml:space="preserve">apital outflows </w:t>
      </w:r>
      <w:r w:rsidR="0042500C" w:rsidRPr="00332951">
        <w:rPr>
          <w:rFonts w:ascii="Arial" w:hAnsi="Arial" w:cs="Arial"/>
          <w:lang w:val="en-US"/>
        </w:rPr>
        <w:t xml:space="preserve">and </w:t>
      </w:r>
      <w:r w:rsidR="00C80E49" w:rsidRPr="00332951">
        <w:rPr>
          <w:rFonts w:ascii="Arial" w:hAnsi="Arial" w:cs="Arial"/>
          <w:lang w:val="en-US"/>
        </w:rPr>
        <w:t>sharp decline</w:t>
      </w:r>
      <w:r w:rsidR="0042500C" w:rsidRPr="00332951">
        <w:rPr>
          <w:rFonts w:ascii="Arial" w:hAnsi="Arial" w:cs="Arial"/>
          <w:lang w:val="en-US"/>
        </w:rPr>
        <w:t>s</w:t>
      </w:r>
      <w:r w:rsidR="00C80E49" w:rsidRPr="00332951">
        <w:rPr>
          <w:rFonts w:ascii="Arial" w:hAnsi="Arial" w:cs="Arial"/>
          <w:lang w:val="en-US"/>
        </w:rPr>
        <w:t xml:space="preserve"> in capital inflows and remittance</w:t>
      </w:r>
      <w:r w:rsidR="00714E27" w:rsidRPr="00332951">
        <w:rPr>
          <w:rFonts w:ascii="Arial" w:hAnsi="Arial" w:cs="Arial"/>
          <w:lang w:val="en-US"/>
        </w:rPr>
        <w:t xml:space="preserve"> with implications for the exchange rate</w:t>
      </w:r>
      <w:r w:rsidR="00C80E49" w:rsidRPr="00332951">
        <w:rPr>
          <w:rFonts w:ascii="Arial" w:hAnsi="Arial" w:cs="Arial"/>
          <w:lang w:val="en-US"/>
        </w:rPr>
        <w:t xml:space="preserve"> and postpone</w:t>
      </w:r>
      <w:r w:rsidR="0042500C" w:rsidRPr="00332951">
        <w:rPr>
          <w:rFonts w:ascii="Arial" w:hAnsi="Arial" w:cs="Arial"/>
          <w:lang w:val="en-US"/>
        </w:rPr>
        <w:t xml:space="preserve">ment of </w:t>
      </w:r>
      <w:r w:rsidR="00C80E49" w:rsidRPr="00332951">
        <w:rPr>
          <w:rFonts w:ascii="Arial" w:hAnsi="Arial" w:cs="Arial"/>
          <w:lang w:val="en-US"/>
        </w:rPr>
        <w:t>planned bond issuance;</w:t>
      </w:r>
      <w:r w:rsidR="0042500C" w:rsidRPr="00332951">
        <w:rPr>
          <w:rFonts w:ascii="Arial" w:hAnsi="Arial" w:cs="Arial"/>
          <w:lang w:val="en-US"/>
        </w:rPr>
        <w:t xml:space="preserve"> and</w:t>
      </w:r>
      <w:r w:rsidR="00C20F41">
        <w:rPr>
          <w:rFonts w:ascii="Arial" w:hAnsi="Arial" w:cs="Arial"/>
          <w:lang w:val="en-US"/>
        </w:rPr>
        <w:t xml:space="preserve"> iii) </w:t>
      </w:r>
      <w:r w:rsidR="0042500C" w:rsidRPr="00332951">
        <w:rPr>
          <w:rFonts w:ascii="Arial" w:hAnsi="Arial" w:cs="Arial"/>
          <w:lang w:val="en-US"/>
        </w:rPr>
        <w:t xml:space="preserve"> the i</w:t>
      </w:r>
      <w:r w:rsidR="00C80E49" w:rsidRPr="00332951">
        <w:rPr>
          <w:rFonts w:ascii="Arial" w:hAnsi="Arial" w:cs="Arial"/>
          <w:lang w:val="en-US"/>
        </w:rPr>
        <w:t>mpact of multiple shocks</w:t>
      </w:r>
      <w:r w:rsidR="0042500C" w:rsidRPr="00332951">
        <w:rPr>
          <w:rFonts w:ascii="Arial" w:hAnsi="Arial" w:cs="Arial"/>
          <w:lang w:val="en-US"/>
        </w:rPr>
        <w:t xml:space="preserve">, </w:t>
      </w:r>
      <w:r w:rsidR="00C80E49" w:rsidRPr="00332951">
        <w:rPr>
          <w:rFonts w:ascii="Arial" w:hAnsi="Arial" w:cs="Arial"/>
          <w:lang w:val="en-US"/>
        </w:rPr>
        <w:t>particularly the effects of floods, locust invasion and collapse of commodity prices</w:t>
      </w:r>
      <w:r w:rsidR="0042500C" w:rsidRPr="00332951">
        <w:rPr>
          <w:rFonts w:ascii="Arial" w:hAnsi="Arial" w:cs="Arial"/>
          <w:lang w:val="en-US"/>
        </w:rPr>
        <w:t xml:space="preserve">. </w:t>
      </w:r>
      <w:r w:rsidR="00C20F41">
        <w:rPr>
          <w:rFonts w:ascii="Arial" w:hAnsi="Arial" w:cs="Arial"/>
          <w:lang w:val="en-US"/>
        </w:rPr>
        <w:t>These</w:t>
      </w:r>
      <w:r w:rsidR="005F39A8" w:rsidRPr="00332951">
        <w:rPr>
          <w:rFonts w:ascii="Arial" w:hAnsi="Arial" w:cs="Arial"/>
          <w:lang w:val="en-US"/>
        </w:rPr>
        <w:t xml:space="preserve"> notwithstanding, r</w:t>
      </w:r>
      <w:r w:rsidRPr="00332951">
        <w:rPr>
          <w:rFonts w:ascii="Arial" w:hAnsi="Arial" w:cs="Arial"/>
          <w:lang w:val="en-US"/>
        </w:rPr>
        <w:t xml:space="preserve">esilient growth in some of the countries </w:t>
      </w:r>
      <w:r w:rsidR="00714E27" w:rsidRPr="00332951">
        <w:rPr>
          <w:rFonts w:ascii="Arial" w:hAnsi="Arial" w:cs="Arial"/>
          <w:lang w:val="en-US"/>
        </w:rPr>
        <w:t xml:space="preserve">seem to have benefited from </w:t>
      </w:r>
      <w:r w:rsidR="009906BE" w:rsidRPr="00332951">
        <w:rPr>
          <w:rFonts w:ascii="Arial" w:hAnsi="Arial" w:cs="Arial"/>
          <w:lang w:val="en-US"/>
        </w:rPr>
        <w:t>improv</w:t>
      </w:r>
      <w:r w:rsidR="0039737B" w:rsidRPr="00332951">
        <w:rPr>
          <w:rFonts w:ascii="Arial" w:hAnsi="Arial" w:cs="Arial"/>
          <w:lang w:val="en-US"/>
        </w:rPr>
        <w:t>ing g</w:t>
      </w:r>
      <w:r w:rsidR="009906BE" w:rsidRPr="00332951">
        <w:rPr>
          <w:rFonts w:ascii="Arial" w:hAnsi="Arial" w:cs="Arial"/>
          <w:lang w:val="en-US"/>
        </w:rPr>
        <w:t>rowth fundamentals</w:t>
      </w:r>
      <w:r w:rsidR="00714E27" w:rsidRPr="00332951">
        <w:rPr>
          <w:rFonts w:ascii="Arial" w:hAnsi="Arial" w:cs="Arial"/>
          <w:lang w:val="en-US"/>
        </w:rPr>
        <w:t xml:space="preserve">, particularly the </w:t>
      </w:r>
      <w:r w:rsidR="009906BE" w:rsidRPr="00332951">
        <w:rPr>
          <w:rFonts w:ascii="Arial" w:hAnsi="Arial" w:cs="Arial"/>
          <w:lang w:val="en-US"/>
        </w:rPr>
        <w:t>gradual shift from private consumption to</w:t>
      </w:r>
      <w:r w:rsidR="0039737B" w:rsidRPr="00332951">
        <w:rPr>
          <w:rFonts w:ascii="Arial" w:hAnsi="Arial" w:cs="Arial"/>
          <w:lang w:val="en-US"/>
        </w:rPr>
        <w:t xml:space="preserve"> </w:t>
      </w:r>
      <w:r w:rsidR="009906BE" w:rsidRPr="00332951">
        <w:rPr>
          <w:rFonts w:ascii="Arial" w:hAnsi="Arial" w:cs="Arial"/>
          <w:lang w:val="en-US"/>
        </w:rPr>
        <w:t>investment and exports</w:t>
      </w:r>
      <w:r w:rsidR="00714E27" w:rsidRPr="00332951">
        <w:rPr>
          <w:rFonts w:ascii="Arial" w:hAnsi="Arial" w:cs="Arial"/>
          <w:lang w:val="en-US"/>
        </w:rPr>
        <w:t>,</w:t>
      </w:r>
      <w:r w:rsidRPr="00332951">
        <w:rPr>
          <w:rFonts w:ascii="Arial" w:hAnsi="Arial" w:cs="Arial"/>
          <w:lang w:val="en-US"/>
        </w:rPr>
        <w:t xml:space="preserve"> which </w:t>
      </w:r>
      <w:r w:rsidR="00714E27" w:rsidRPr="00332951">
        <w:rPr>
          <w:rFonts w:ascii="Arial" w:hAnsi="Arial" w:cs="Arial"/>
          <w:lang w:val="en-US"/>
        </w:rPr>
        <w:t xml:space="preserve">somewhat </w:t>
      </w:r>
      <w:r w:rsidRPr="00332951">
        <w:rPr>
          <w:rFonts w:ascii="Arial" w:hAnsi="Arial" w:cs="Arial"/>
          <w:lang w:val="en-US"/>
        </w:rPr>
        <w:t xml:space="preserve">moderated the negative </w:t>
      </w:r>
      <w:r w:rsidR="00714E27" w:rsidRPr="00332951">
        <w:rPr>
          <w:rFonts w:ascii="Arial" w:hAnsi="Arial" w:cs="Arial"/>
          <w:lang w:val="en-US"/>
        </w:rPr>
        <w:t xml:space="preserve">waves </w:t>
      </w:r>
      <w:r w:rsidRPr="00332951">
        <w:rPr>
          <w:rFonts w:ascii="Arial" w:hAnsi="Arial" w:cs="Arial"/>
          <w:lang w:val="en-US"/>
        </w:rPr>
        <w:t>associated with COVID-19</w:t>
      </w:r>
      <w:r w:rsidR="002469A1" w:rsidRPr="00332951">
        <w:rPr>
          <w:rFonts w:ascii="Arial" w:hAnsi="Arial" w:cs="Arial"/>
          <w:lang w:val="en-US"/>
        </w:rPr>
        <w:t xml:space="preserve">. </w:t>
      </w:r>
    </w:p>
    <w:p w14:paraId="549B788C" w14:textId="707B093A" w:rsidR="005F39A8" w:rsidRPr="00332951" w:rsidRDefault="00AB67E2" w:rsidP="004B7018">
      <w:pPr>
        <w:jc w:val="both"/>
        <w:rPr>
          <w:rFonts w:ascii="Arial" w:hAnsi="Arial" w:cs="Arial"/>
          <w:lang w:val="en-US"/>
        </w:rPr>
      </w:pPr>
      <w:r w:rsidRPr="00332951">
        <w:rPr>
          <w:rFonts w:ascii="Arial" w:hAnsi="Arial" w:cs="Arial"/>
          <w:lang w:val="en-US"/>
        </w:rPr>
        <w:t xml:space="preserve">While </w:t>
      </w:r>
      <w:r w:rsidR="00F8022A" w:rsidRPr="00332951">
        <w:rPr>
          <w:rFonts w:ascii="Arial" w:hAnsi="Arial" w:cs="Arial"/>
          <w:lang w:val="en-US"/>
        </w:rPr>
        <w:t>a second wave of the COVID-19 pandemic</w:t>
      </w:r>
      <w:r w:rsidR="00714E27" w:rsidRPr="00332951">
        <w:rPr>
          <w:rFonts w:ascii="Arial" w:hAnsi="Arial" w:cs="Arial"/>
          <w:lang w:val="en-US"/>
        </w:rPr>
        <w:t xml:space="preserve"> — which </w:t>
      </w:r>
      <w:r w:rsidR="00F8022A" w:rsidRPr="00332951">
        <w:rPr>
          <w:rFonts w:ascii="Arial" w:hAnsi="Arial" w:cs="Arial"/>
          <w:lang w:val="en-US"/>
        </w:rPr>
        <w:t>swiftly outpaced the scale and speed of the first</w:t>
      </w:r>
      <w:r w:rsidR="00714E27" w:rsidRPr="00332951">
        <w:rPr>
          <w:rFonts w:ascii="Arial" w:hAnsi="Arial" w:cs="Arial"/>
          <w:lang w:val="en-US"/>
        </w:rPr>
        <w:t xml:space="preserve">, has eased somewhat </w:t>
      </w:r>
      <w:r w:rsidR="00F8022A" w:rsidRPr="00332951">
        <w:rPr>
          <w:rFonts w:ascii="Arial" w:hAnsi="Arial" w:cs="Arial"/>
          <w:lang w:val="en-US"/>
        </w:rPr>
        <w:t xml:space="preserve">in a broad set of countries in </w:t>
      </w:r>
      <w:r w:rsidRPr="00332951">
        <w:rPr>
          <w:rFonts w:ascii="Arial" w:hAnsi="Arial" w:cs="Arial"/>
          <w:lang w:val="en-US"/>
        </w:rPr>
        <w:t>the region</w:t>
      </w:r>
      <w:r w:rsidR="00F8022A" w:rsidRPr="00332951">
        <w:rPr>
          <w:rFonts w:ascii="Arial" w:hAnsi="Arial" w:cs="Arial"/>
          <w:lang w:val="en-US"/>
        </w:rPr>
        <w:t xml:space="preserve"> </w:t>
      </w:r>
      <w:r w:rsidR="000450BB" w:rsidRPr="00332951">
        <w:rPr>
          <w:rFonts w:ascii="Arial" w:hAnsi="Arial" w:cs="Arial"/>
          <w:lang w:val="en-US"/>
        </w:rPr>
        <w:t xml:space="preserve">and whereas countries </w:t>
      </w:r>
      <w:r w:rsidR="00714E27" w:rsidRPr="00332951">
        <w:rPr>
          <w:rFonts w:ascii="Arial" w:hAnsi="Arial" w:cs="Arial"/>
          <w:lang w:val="en-US"/>
        </w:rPr>
        <w:t xml:space="preserve">could be </w:t>
      </w:r>
      <w:r w:rsidRPr="00332951">
        <w:rPr>
          <w:rFonts w:ascii="Arial" w:hAnsi="Arial" w:cs="Arial"/>
          <w:lang w:val="en-US"/>
        </w:rPr>
        <w:t>bracing for further waves as access to vaccines remain scant,</w:t>
      </w:r>
      <w:r w:rsidRPr="00332951">
        <w:rPr>
          <w:rFonts w:ascii="Arial" w:hAnsi="Arial" w:cs="Arial"/>
          <w:b/>
          <w:lang w:val="en-US"/>
        </w:rPr>
        <w:t xml:space="preserve"> </w:t>
      </w:r>
      <w:r w:rsidRPr="00332951">
        <w:rPr>
          <w:rFonts w:ascii="Arial" w:hAnsi="Arial" w:cs="Arial"/>
          <w:lang w:val="en-US"/>
        </w:rPr>
        <w:t>t</w:t>
      </w:r>
      <w:r w:rsidR="00195E39" w:rsidRPr="00332951">
        <w:rPr>
          <w:rFonts w:ascii="Arial" w:hAnsi="Arial" w:cs="Arial"/>
          <w:lang w:val="en-US"/>
        </w:rPr>
        <w:t>he IMF April, 202</w:t>
      </w:r>
      <w:r w:rsidR="002469A1" w:rsidRPr="00332951">
        <w:rPr>
          <w:rFonts w:ascii="Arial" w:hAnsi="Arial" w:cs="Arial"/>
          <w:lang w:val="en-US"/>
        </w:rPr>
        <w:t>1</w:t>
      </w:r>
      <w:r w:rsidR="00195E39" w:rsidRPr="00332951">
        <w:rPr>
          <w:rFonts w:ascii="Arial" w:hAnsi="Arial" w:cs="Arial"/>
          <w:lang w:val="en-US"/>
        </w:rPr>
        <w:t xml:space="preserve"> project</w:t>
      </w:r>
      <w:r w:rsidR="00A70662" w:rsidRPr="00332951">
        <w:rPr>
          <w:rFonts w:ascii="Arial" w:hAnsi="Arial" w:cs="Arial"/>
          <w:lang w:val="en-US"/>
        </w:rPr>
        <w:t xml:space="preserve">ions show </w:t>
      </w:r>
      <w:r w:rsidR="00195E39" w:rsidRPr="00332951">
        <w:rPr>
          <w:rFonts w:ascii="Arial" w:hAnsi="Arial" w:cs="Arial"/>
          <w:lang w:val="en-US"/>
        </w:rPr>
        <w:t xml:space="preserve">that </w:t>
      </w:r>
      <w:r w:rsidR="00A70662" w:rsidRPr="00332951">
        <w:rPr>
          <w:rFonts w:ascii="Arial" w:hAnsi="Arial" w:cs="Arial"/>
          <w:lang w:val="en-US"/>
        </w:rPr>
        <w:t xml:space="preserve">the </w:t>
      </w:r>
      <w:r w:rsidR="00195E39" w:rsidRPr="00332951">
        <w:rPr>
          <w:rFonts w:ascii="Arial" w:hAnsi="Arial" w:cs="Arial"/>
          <w:lang w:val="en-US"/>
        </w:rPr>
        <w:t xml:space="preserve">COMESA region </w:t>
      </w:r>
      <w:r w:rsidR="00A70662" w:rsidRPr="00332951">
        <w:rPr>
          <w:rFonts w:ascii="Arial" w:hAnsi="Arial" w:cs="Arial"/>
          <w:lang w:val="en-US"/>
        </w:rPr>
        <w:t xml:space="preserve">average growth </w:t>
      </w:r>
      <w:r w:rsidR="00195E39" w:rsidRPr="00332951">
        <w:rPr>
          <w:rFonts w:ascii="Arial" w:hAnsi="Arial" w:cs="Arial"/>
          <w:lang w:val="en-US"/>
        </w:rPr>
        <w:t xml:space="preserve">will </w:t>
      </w:r>
      <w:r w:rsidR="00714E27" w:rsidRPr="00332951">
        <w:rPr>
          <w:rFonts w:ascii="Arial" w:hAnsi="Arial" w:cs="Arial"/>
          <w:lang w:val="en-US"/>
        </w:rPr>
        <w:t xml:space="preserve">rebound </w:t>
      </w:r>
      <w:r w:rsidR="00A70662" w:rsidRPr="00332951">
        <w:rPr>
          <w:rFonts w:ascii="Arial" w:hAnsi="Arial" w:cs="Arial"/>
          <w:lang w:val="en-US"/>
        </w:rPr>
        <w:t>to 4.3</w:t>
      </w:r>
      <w:r w:rsidR="00195E39" w:rsidRPr="00332951">
        <w:rPr>
          <w:rFonts w:ascii="Arial" w:hAnsi="Arial" w:cs="Arial"/>
          <w:lang w:val="en-US"/>
        </w:rPr>
        <w:t>%</w:t>
      </w:r>
      <w:r w:rsidR="00302867" w:rsidRPr="00332951">
        <w:rPr>
          <w:rFonts w:ascii="Arial" w:hAnsi="Arial" w:cs="Arial"/>
          <w:lang w:val="en-US"/>
        </w:rPr>
        <w:t xml:space="preserve"> </w:t>
      </w:r>
      <w:r w:rsidR="00A70662" w:rsidRPr="00332951">
        <w:rPr>
          <w:rFonts w:ascii="Arial" w:hAnsi="Arial" w:cs="Arial"/>
          <w:lang w:val="en-US"/>
        </w:rPr>
        <w:t xml:space="preserve">in 2021 and further to 6.0% in 2022 </w:t>
      </w:r>
      <w:r w:rsidR="00302867" w:rsidRPr="00332951">
        <w:rPr>
          <w:rFonts w:ascii="Arial" w:hAnsi="Arial" w:cs="Arial"/>
          <w:lang w:val="en-US"/>
        </w:rPr>
        <w:t>(</w:t>
      </w:r>
      <w:r w:rsidR="00302867" w:rsidRPr="00332951">
        <w:rPr>
          <w:rFonts w:ascii="Arial" w:hAnsi="Arial" w:cs="Arial"/>
          <w:b/>
          <w:lang w:val="en-US"/>
        </w:rPr>
        <w:t>Fig</w:t>
      </w:r>
      <w:r w:rsidR="00E92998" w:rsidRPr="00332951">
        <w:rPr>
          <w:rFonts w:ascii="Arial" w:hAnsi="Arial" w:cs="Arial"/>
          <w:b/>
          <w:lang w:val="en-US"/>
        </w:rPr>
        <w:t xml:space="preserve">. </w:t>
      </w:r>
      <w:r w:rsidR="00302867" w:rsidRPr="00332951">
        <w:rPr>
          <w:rFonts w:ascii="Arial" w:hAnsi="Arial" w:cs="Arial"/>
          <w:b/>
          <w:lang w:val="en-US"/>
        </w:rPr>
        <w:t>1</w:t>
      </w:r>
      <w:r w:rsidR="00302867" w:rsidRPr="00332951">
        <w:rPr>
          <w:rFonts w:ascii="Arial" w:hAnsi="Arial" w:cs="Arial"/>
          <w:lang w:val="en-US"/>
        </w:rPr>
        <w:t>)</w:t>
      </w:r>
      <w:r w:rsidR="009906BE" w:rsidRPr="00332951">
        <w:rPr>
          <w:rFonts w:ascii="Arial" w:hAnsi="Arial" w:cs="Arial"/>
          <w:lang w:val="en-US"/>
        </w:rPr>
        <w:t>.</w:t>
      </w:r>
      <w:r w:rsidR="00195E39" w:rsidRPr="00332951">
        <w:rPr>
          <w:rFonts w:ascii="Arial" w:hAnsi="Arial" w:cs="Arial"/>
          <w:lang w:val="en-US"/>
        </w:rPr>
        <w:t xml:space="preserve"> </w:t>
      </w:r>
    </w:p>
    <w:p w14:paraId="776B3478" w14:textId="77777777" w:rsidR="00A705E7" w:rsidRDefault="00A705E7" w:rsidP="00817708">
      <w:pPr>
        <w:pStyle w:val="Caption"/>
        <w:spacing w:after="0"/>
        <w:rPr>
          <w:rFonts w:ascii="Arial" w:hAnsi="Arial" w:cs="Arial"/>
          <w:i w:val="0"/>
          <w:iCs w:val="0"/>
          <w:color w:val="auto"/>
          <w:sz w:val="22"/>
          <w:szCs w:val="22"/>
          <w:lang w:val="en-US"/>
        </w:rPr>
      </w:pPr>
    </w:p>
    <w:p w14:paraId="0A50684B" w14:textId="59C7527F" w:rsidR="005142A8" w:rsidRPr="00332951" w:rsidRDefault="00817708" w:rsidP="00332951">
      <w:pPr>
        <w:pStyle w:val="Caption"/>
        <w:spacing w:after="0"/>
        <w:jc w:val="center"/>
        <w:rPr>
          <w:rFonts w:ascii="Arial" w:hAnsi="Arial" w:cs="Arial"/>
          <w:b/>
          <w:i w:val="0"/>
          <w:iCs w:val="0"/>
          <w:color w:val="auto"/>
          <w:sz w:val="22"/>
          <w:szCs w:val="22"/>
          <w:lang w:val="en-US"/>
        </w:rPr>
      </w:pPr>
      <w:r w:rsidRPr="00332951">
        <w:rPr>
          <w:rFonts w:ascii="Arial" w:hAnsi="Arial" w:cs="Arial"/>
          <w:b/>
          <w:i w:val="0"/>
          <w:iCs w:val="0"/>
          <w:color w:val="auto"/>
          <w:sz w:val="22"/>
          <w:szCs w:val="22"/>
          <w:lang w:val="en-US"/>
        </w:rPr>
        <w:t xml:space="preserve">Figure </w:t>
      </w:r>
      <w:r w:rsidRPr="00332951">
        <w:rPr>
          <w:rFonts w:ascii="Arial" w:hAnsi="Arial" w:cs="Arial"/>
          <w:b/>
          <w:i w:val="0"/>
          <w:iCs w:val="0"/>
          <w:color w:val="auto"/>
          <w:sz w:val="22"/>
          <w:szCs w:val="22"/>
          <w:lang w:val="en-US"/>
        </w:rPr>
        <w:fldChar w:fldCharType="begin"/>
      </w:r>
      <w:r w:rsidRPr="00332951">
        <w:rPr>
          <w:rFonts w:ascii="Arial" w:hAnsi="Arial" w:cs="Arial"/>
          <w:b/>
          <w:i w:val="0"/>
          <w:iCs w:val="0"/>
          <w:color w:val="auto"/>
          <w:sz w:val="22"/>
          <w:szCs w:val="22"/>
          <w:lang w:val="en-US"/>
        </w:rPr>
        <w:instrText xml:space="preserve"> SEQ Figure \* ARABIC </w:instrText>
      </w:r>
      <w:r w:rsidRPr="00332951">
        <w:rPr>
          <w:rFonts w:ascii="Arial" w:hAnsi="Arial" w:cs="Arial"/>
          <w:b/>
          <w:i w:val="0"/>
          <w:iCs w:val="0"/>
          <w:color w:val="auto"/>
          <w:sz w:val="22"/>
          <w:szCs w:val="22"/>
          <w:lang w:val="en-US"/>
        </w:rPr>
        <w:fldChar w:fldCharType="separate"/>
      </w:r>
      <w:r w:rsidR="00E66874" w:rsidRPr="00332951">
        <w:rPr>
          <w:rFonts w:ascii="Arial" w:hAnsi="Arial" w:cs="Arial"/>
          <w:b/>
          <w:i w:val="0"/>
          <w:iCs w:val="0"/>
          <w:noProof/>
          <w:color w:val="auto"/>
          <w:sz w:val="22"/>
          <w:szCs w:val="22"/>
          <w:lang w:val="en-US"/>
        </w:rPr>
        <w:t>1</w:t>
      </w:r>
      <w:r w:rsidRPr="00332951">
        <w:rPr>
          <w:rFonts w:ascii="Arial" w:hAnsi="Arial" w:cs="Arial"/>
          <w:b/>
          <w:i w:val="0"/>
          <w:iCs w:val="0"/>
          <w:color w:val="auto"/>
          <w:sz w:val="22"/>
          <w:szCs w:val="22"/>
          <w:lang w:val="en-US"/>
        </w:rPr>
        <w:fldChar w:fldCharType="end"/>
      </w:r>
      <w:r w:rsidRPr="00332951">
        <w:rPr>
          <w:rFonts w:ascii="Arial" w:hAnsi="Arial" w:cs="Arial"/>
          <w:b/>
          <w:i w:val="0"/>
          <w:iCs w:val="0"/>
          <w:color w:val="auto"/>
          <w:sz w:val="22"/>
          <w:szCs w:val="22"/>
          <w:lang w:val="en-US"/>
        </w:rPr>
        <w:t>: COMESA average real GDP Growth (y-o-y % change)</w:t>
      </w:r>
    </w:p>
    <w:p w14:paraId="386F2C84" w14:textId="0FC670E5" w:rsidR="005142A8" w:rsidRDefault="005142A8" w:rsidP="00B14CAE">
      <w:pPr>
        <w:pStyle w:val="BodyText2"/>
        <w:jc w:val="center"/>
        <w:rPr>
          <w:rFonts w:cs="Arial"/>
          <w:noProof/>
          <w:sz w:val="22"/>
          <w:szCs w:val="22"/>
          <w:lang w:val="en-US"/>
        </w:rPr>
      </w:pPr>
      <w:r>
        <w:rPr>
          <w:noProof/>
          <w:lang w:val="en-US" w:eastAsia="en-US"/>
        </w:rPr>
        <w:drawing>
          <wp:inline distT="0" distB="0" distL="0" distR="0" wp14:anchorId="4AE5CDFE" wp14:editId="493ADB9F">
            <wp:extent cx="5623560" cy="2179320"/>
            <wp:effectExtent l="0" t="0" r="15240" b="114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5A892CE" w14:textId="7160BE43" w:rsidR="00CC25ED" w:rsidRPr="004C6F8E" w:rsidRDefault="005142A8" w:rsidP="005142A8">
      <w:pPr>
        <w:pStyle w:val="BodyText2"/>
        <w:rPr>
          <w:rFonts w:eastAsia="Calibri" w:cs="Arial"/>
          <w:b w:val="0"/>
          <w:sz w:val="20"/>
          <w:szCs w:val="20"/>
          <w:lang w:val="en-GB" w:bidi="fr-FR"/>
        </w:rPr>
      </w:pPr>
      <w:r w:rsidRPr="004C6F8E">
        <w:rPr>
          <w:rFonts w:eastAsia="Calibri" w:cs="Arial"/>
          <w:b w:val="0"/>
          <w:sz w:val="20"/>
          <w:szCs w:val="20"/>
          <w:lang w:val="en-GB" w:bidi="fr-FR"/>
        </w:rPr>
        <w:t>Source: IMF REO Sub Saharan Africa April 2021</w:t>
      </w:r>
    </w:p>
    <w:p w14:paraId="2B431B9A" w14:textId="77777777" w:rsidR="001A7612" w:rsidRPr="00332951" w:rsidRDefault="001A7612" w:rsidP="004C6F8E">
      <w:pPr>
        <w:jc w:val="both"/>
        <w:rPr>
          <w:rFonts w:ascii="Arial" w:hAnsi="Arial" w:cs="Arial"/>
          <w:lang w:val="en-US"/>
        </w:rPr>
      </w:pPr>
    </w:p>
    <w:p w14:paraId="4E40B22A" w14:textId="2B128786" w:rsidR="004B7018" w:rsidRPr="00332951" w:rsidRDefault="004B7018" w:rsidP="004B7018">
      <w:pPr>
        <w:jc w:val="both"/>
        <w:rPr>
          <w:rFonts w:ascii="Arial" w:hAnsi="Arial" w:cs="Arial"/>
          <w:lang w:val="en-US"/>
        </w:rPr>
      </w:pPr>
      <w:r w:rsidRPr="00332951">
        <w:rPr>
          <w:rFonts w:ascii="Arial" w:hAnsi="Arial" w:cs="Arial"/>
          <w:lang w:val="en-US"/>
        </w:rPr>
        <w:lastRenderedPageBreak/>
        <w:t>Recovery in growth</w:t>
      </w:r>
      <w:r w:rsidR="007B1F7D" w:rsidRPr="00332951">
        <w:rPr>
          <w:rFonts w:ascii="Arial" w:hAnsi="Arial" w:cs="Arial"/>
          <w:lang w:val="en-US"/>
        </w:rPr>
        <w:t xml:space="preserve"> forecast </w:t>
      </w:r>
      <w:r w:rsidRPr="00332951">
        <w:rPr>
          <w:rFonts w:ascii="Arial" w:hAnsi="Arial" w:cs="Arial"/>
          <w:lang w:val="en-US"/>
        </w:rPr>
        <w:t xml:space="preserve">in the region is being anchored on: a) </w:t>
      </w:r>
      <w:r w:rsidR="00F71C69" w:rsidRPr="00332951">
        <w:rPr>
          <w:rFonts w:ascii="Arial" w:hAnsi="Arial" w:cs="Arial"/>
          <w:lang w:val="en-US"/>
        </w:rPr>
        <w:t xml:space="preserve">optimism about a </w:t>
      </w:r>
      <w:r w:rsidRPr="00332951">
        <w:rPr>
          <w:rFonts w:ascii="Arial" w:hAnsi="Arial" w:cs="Arial"/>
          <w:lang w:val="en-US"/>
        </w:rPr>
        <w:t xml:space="preserve">recovery in the global economy, driven in large part by scale up of vaccination efforts against COVID-19 in advanced economies and the extraordinary level of policy support—fiscal stimulus and continued accommodation by central banks, with potential spillovers to the region in the form of increased trade, higher commodity prices, and a resumption of capital inflows; b) recovery in commodity prices and firm worldwide demand particularly in China, along with a recovery in both private consumption and investment. Already, oil prices have jumped to $67 per barrel in March 2021, from $27 per barrel in April 2020, reflecting in part, improving global demand; and c) broadly accommodative global financial conditions—given low global interest rates and spreads. This should support resumption of sovereign issuances in the region.   </w:t>
      </w:r>
    </w:p>
    <w:p w14:paraId="746C792E" w14:textId="00FC5178" w:rsidR="004C6F8E" w:rsidRPr="00332951" w:rsidRDefault="004C6F8E" w:rsidP="00A04EF3">
      <w:pPr>
        <w:spacing w:after="120"/>
        <w:jc w:val="both"/>
        <w:rPr>
          <w:rFonts w:ascii="Arial" w:hAnsi="Arial" w:cs="Arial"/>
          <w:lang w:val="en-US"/>
        </w:rPr>
      </w:pPr>
      <w:r w:rsidRPr="00332951">
        <w:rPr>
          <w:rFonts w:ascii="Arial" w:hAnsi="Arial" w:cs="Arial"/>
          <w:lang w:val="en-US"/>
        </w:rPr>
        <w:t>Going forward, the immediate concern for the region is containing the spread of COVID-19 as well as opening up the COMESA region economies. Striking a balance between the two almost conflicting objectives will go a long way in determining the speed and extent of economic recovery and return to normalcy. Key towards getting the balance right will depend on how effective and efficient governments in the region will be as they continue to carry out public health measures and the extent to which the public will adapt the same. Key among these measures include but not limited to; speedy roll out of the COVID-19 vaccine and enhance</w:t>
      </w:r>
      <w:r w:rsidR="00361C86">
        <w:rPr>
          <w:rFonts w:ascii="Arial" w:hAnsi="Arial" w:cs="Arial"/>
          <w:lang w:val="en-US"/>
        </w:rPr>
        <w:t>ment of</w:t>
      </w:r>
      <w:r w:rsidRPr="00332951">
        <w:rPr>
          <w:rFonts w:ascii="Arial" w:hAnsi="Arial" w:cs="Arial"/>
          <w:lang w:val="en-US"/>
        </w:rPr>
        <w:t xml:space="preserve"> immunization</w:t>
      </w:r>
      <w:r w:rsidR="00964054" w:rsidRPr="00332951">
        <w:rPr>
          <w:rFonts w:ascii="Arial" w:hAnsi="Arial" w:cs="Arial"/>
          <w:lang w:val="en-US"/>
        </w:rPr>
        <w:t xml:space="preserve"> </w:t>
      </w:r>
      <w:r w:rsidR="003011B5" w:rsidRPr="00332951">
        <w:rPr>
          <w:rFonts w:ascii="Arial" w:hAnsi="Arial" w:cs="Arial"/>
          <w:lang w:val="en-US"/>
        </w:rPr>
        <w:t xml:space="preserve">awareness </w:t>
      </w:r>
      <w:r w:rsidR="00964054" w:rsidRPr="00332951">
        <w:rPr>
          <w:rFonts w:ascii="Arial" w:hAnsi="Arial" w:cs="Arial"/>
          <w:lang w:val="en-US"/>
        </w:rPr>
        <w:t>campaign and uptake</w:t>
      </w:r>
      <w:r w:rsidRPr="00332951">
        <w:rPr>
          <w:rFonts w:ascii="Arial" w:hAnsi="Arial" w:cs="Arial"/>
          <w:lang w:val="en-US"/>
        </w:rPr>
        <w:t xml:space="preserve">, adherence to the World Health Organization (WHO) Standard Operating Procedures (SOPs), mass testing, isolation and quarantine of identified cases.  </w:t>
      </w:r>
    </w:p>
    <w:p w14:paraId="72D3042C" w14:textId="77777777" w:rsidR="004C6F8E" w:rsidRPr="00332951" w:rsidRDefault="004C6F8E" w:rsidP="00A04EF3">
      <w:pPr>
        <w:pStyle w:val="BodyText2"/>
        <w:spacing w:after="120" w:line="276" w:lineRule="auto"/>
        <w:rPr>
          <w:rFonts w:eastAsia="Calibri" w:cs="Arial"/>
          <w:b w:val="0"/>
          <w:sz w:val="22"/>
          <w:szCs w:val="22"/>
          <w:lang w:val="en-GB" w:bidi="fr-FR"/>
        </w:rPr>
      </w:pPr>
    </w:p>
    <w:p w14:paraId="1730FDEC" w14:textId="77777777" w:rsidR="00C76C27" w:rsidRPr="00332951" w:rsidRDefault="00C76C27" w:rsidP="00C76C27">
      <w:pPr>
        <w:pStyle w:val="Heading1"/>
        <w:numPr>
          <w:ilvl w:val="0"/>
          <w:numId w:val="10"/>
        </w:numPr>
        <w:spacing w:before="0" w:after="120" w:line="276" w:lineRule="auto"/>
        <w:rPr>
          <w:rFonts w:ascii="Arial" w:hAnsi="Arial" w:cs="Arial"/>
          <w:sz w:val="22"/>
          <w:szCs w:val="22"/>
        </w:rPr>
      </w:pPr>
      <w:bookmarkStart w:id="11" w:name="_Toc70943216"/>
      <w:bookmarkStart w:id="12" w:name="_Toc505769856"/>
      <w:r w:rsidRPr="00332951">
        <w:rPr>
          <w:rFonts w:ascii="Arial" w:hAnsi="Arial" w:cs="Arial"/>
          <w:sz w:val="22"/>
          <w:szCs w:val="22"/>
        </w:rPr>
        <w:t>Inflation Rate</w:t>
      </w:r>
      <w:bookmarkEnd w:id="11"/>
    </w:p>
    <w:p w14:paraId="60183D37" w14:textId="6C138952" w:rsidR="00C76C27" w:rsidRPr="00332951" w:rsidRDefault="00C76C27" w:rsidP="00361C86">
      <w:pPr>
        <w:jc w:val="both"/>
        <w:rPr>
          <w:rFonts w:cs="Arial"/>
          <w:b/>
          <w:bCs/>
          <w:lang w:val="en-US"/>
        </w:rPr>
      </w:pPr>
      <w:r w:rsidRPr="00332951">
        <w:rPr>
          <w:rFonts w:ascii="Arial" w:hAnsi="Arial" w:cs="Arial"/>
          <w:lang w:val="en-US"/>
        </w:rPr>
        <w:t>The COMESA region wide average inflation rate itched for the 2</w:t>
      </w:r>
      <w:r w:rsidRPr="00332951">
        <w:rPr>
          <w:rFonts w:ascii="Arial" w:hAnsi="Arial" w:cs="Arial"/>
          <w:vertAlign w:val="superscript"/>
          <w:lang w:val="en-US"/>
        </w:rPr>
        <w:t>nd</w:t>
      </w:r>
      <w:r w:rsidRPr="00332951">
        <w:rPr>
          <w:rFonts w:ascii="Arial" w:hAnsi="Arial" w:cs="Arial"/>
          <w:lang w:val="en-US"/>
        </w:rPr>
        <w:t xml:space="preserve"> consecutive year to 19.1% in 2020, up from 13.52% in 2019 and 9.5% in 2018, but is projected to ease somewhat to 11.4% </w:t>
      </w:r>
      <w:r w:rsidR="00332951" w:rsidRPr="00332951">
        <w:rPr>
          <w:rFonts w:ascii="Arial" w:hAnsi="Arial" w:cs="Arial"/>
          <w:lang w:val="en-US"/>
        </w:rPr>
        <w:t>in 202</w:t>
      </w:r>
      <w:r w:rsidRPr="00332951">
        <w:rPr>
          <w:rFonts w:ascii="Arial" w:hAnsi="Arial" w:cs="Arial"/>
          <w:lang w:val="en-US"/>
        </w:rPr>
        <w:t>1 and further to 7.4% in 2022 (</w:t>
      </w:r>
      <w:r w:rsidRPr="00332951">
        <w:rPr>
          <w:rFonts w:ascii="Arial" w:hAnsi="Arial" w:cs="Arial"/>
          <w:b/>
          <w:bCs/>
          <w:lang w:val="en-US"/>
        </w:rPr>
        <w:t xml:space="preserve">Fig. </w:t>
      </w:r>
      <w:r w:rsidR="00E66874" w:rsidRPr="00332951">
        <w:rPr>
          <w:rFonts w:ascii="Arial" w:hAnsi="Arial" w:cs="Arial"/>
          <w:b/>
          <w:bCs/>
          <w:lang w:val="en-US"/>
        </w:rPr>
        <w:t>2</w:t>
      </w:r>
      <w:r w:rsidRPr="00332951">
        <w:rPr>
          <w:rFonts w:ascii="Arial" w:hAnsi="Arial" w:cs="Arial"/>
          <w:lang w:val="en-US"/>
        </w:rPr>
        <w:t xml:space="preserve">). </w:t>
      </w:r>
    </w:p>
    <w:p w14:paraId="4ED37CE7" w14:textId="77777777" w:rsidR="00E66874" w:rsidRPr="00332951" w:rsidRDefault="00E66874" w:rsidP="00E66874">
      <w:pPr>
        <w:pStyle w:val="Caption"/>
        <w:spacing w:after="0"/>
        <w:rPr>
          <w:rFonts w:ascii="Arial" w:hAnsi="Arial" w:cs="Arial"/>
          <w:i w:val="0"/>
          <w:iCs w:val="0"/>
          <w:color w:val="auto"/>
          <w:sz w:val="22"/>
          <w:szCs w:val="22"/>
          <w:lang w:val="en-US"/>
        </w:rPr>
      </w:pPr>
    </w:p>
    <w:p w14:paraId="1CF14E9C" w14:textId="2DCDDA52" w:rsidR="00C76C27" w:rsidRPr="00332951" w:rsidRDefault="00E66874" w:rsidP="00332951">
      <w:pPr>
        <w:pStyle w:val="Caption"/>
        <w:spacing w:after="0"/>
        <w:jc w:val="center"/>
        <w:rPr>
          <w:rFonts w:ascii="Arial" w:hAnsi="Arial" w:cs="Arial"/>
          <w:b/>
          <w:i w:val="0"/>
          <w:iCs w:val="0"/>
          <w:color w:val="auto"/>
          <w:sz w:val="22"/>
          <w:szCs w:val="22"/>
          <w:lang w:val="en-US"/>
        </w:rPr>
      </w:pPr>
      <w:r w:rsidRPr="00332951">
        <w:rPr>
          <w:rFonts w:ascii="Arial" w:hAnsi="Arial" w:cs="Arial"/>
          <w:b/>
          <w:i w:val="0"/>
          <w:iCs w:val="0"/>
          <w:color w:val="auto"/>
          <w:sz w:val="22"/>
          <w:szCs w:val="22"/>
          <w:lang w:val="en-US"/>
        </w:rPr>
        <w:t xml:space="preserve">Figure </w:t>
      </w:r>
      <w:r w:rsidRPr="00332951">
        <w:rPr>
          <w:rFonts w:ascii="Arial" w:hAnsi="Arial" w:cs="Arial"/>
          <w:b/>
          <w:i w:val="0"/>
          <w:iCs w:val="0"/>
          <w:color w:val="auto"/>
          <w:sz w:val="22"/>
          <w:szCs w:val="22"/>
          <w:lang w:val="en-US"/>
        </w:rPr>
        <w:fldChar w:fldCharType="begin"/>
      </w:r>
      <w:r w:rsidRPr="00332951">
        <w:rPr>
          <w:rFonts w:ascii="Arial" w:hAnsi="Arial" w:cs="Arial"/>
          <w:b/>
          <w:i w:val="0"/>
          <w:iCs w:val="0"/>
          <w:color w:val="auto"/>
          <w:sz w:val="22"/>
          <w:szCs w:val="22"/>
          <w:lang w:val="en-US"/>
        </w:rPr>
        <w:instrText xml:space="preserve"> SEQ Figure \* ARABIC </w:instrText>
      </w:r>
      <w:r w:rsidRPr="00332951">
        <w:rPr>
          <w:rFonts w:ascii="Arial" w:hAnsi="Arial" w:cs="Arial"/>
          <w:b/>
          <w:i w:val="0"/>
          <w:iCs w:val="0"/>
          <w:color w:val="auto"/>
          <w:sz w:val="22"/>
          <w:szCs w:val="22"/>
          <w:lang w:val="en-US"/>
        </w:rPr>
        <w:fldChar w:fldCharType="separate"/>
      </w:r>
      <w:r w:rsidRPr="00332951">
        <w:rPr>
          <w:rFonts w:ascii="Arial" w:hAnsi="Arial" w:cs="Arial"/>
          <w:b/>
          <w:i w:val="0"/>
          <w:iCs w:val="0"/>
          <w:noProof/>
          <w:color w:val="auto"/>
          <w:sz w:val="22"/>
          <w:szCs w:val="22"/>
          <w:lang w:val="en-US"/>
        </w:rPr>
        <w:t>2</w:t>
      </w:r>
      <w:r w:rsidRPr="00332951">
        <w:rPr>
          <w:rFonts w:ascii="Arial" w:hAnsi="Arial" w:cs="Arial"/>
          <w:b/>
          <w:i w:val="0"/>
          <w:iCs w:val="0"/>
          <w:color w:val="auto"/>
          <w:sz w:val="22"/>
          <w:szCs w:val="22"/>
          <w:lang w:val="en-US"/>
        </w:rPr>
        <w:fldChar w:fldCharType="end"/>
      </w:r>
      <w:r w:rsidRPr="00332951">
        <w:rPr>
          <w:rFonts w:ascii="Arial" w:hAnsi="Arial" w:cs="Arial"/>
          <w:b/>
          <w:i w:val="0"/>
          <w:iCs w:val="0"/>
          <w:color w:val="auto"/>
          <w:sz w:val="22"/>
          <w:szCs w:val="22"/>
          <w:lang w:val="en-US"/>
        </w:rPr>
        <w:t>: COMESA average Consumer Prices (annual av., % Change)</w:t>
      </w:r>
    </w:p>
    <w:p w14:paraId="656597A3" w14:textId="77777777" w:rsidR="00C76C27" w:rsidRDefault="00C76C27" w:rsidP="00332951">
      <w:pPr>
        <w:spacing w:after="0" w:line="240" w:lineRule="auto"/>
        <w:jc w:val="center"/>
        <w:rPr>
          <w:lang w:val="en-GB" w:eastAsia="en-US" w:bidi="ar-SA"/>
        </w:rPr>
      </w:pPr>
      <w:r>
        <w:rPr>
          <w:noProof/>
          <w:lang w:val="en-US" w:eastAsia="en-US" w:bidi="ar-SA"/>
        </w:rPr>
        <w:drawing>
          <wp:inline distT="0" distB="0" distL="0" distR="0" wp14:anchorId="493C63E9" wp14:editId="2CD1B019">
            <wp:extent cx="5494020" cy="2156460"/>
            <wp:effectExtent l="0" t="0" r="1143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0AF4B11" w14:textId="12EEEE25" w:rsidR="00C76C27" w:rsidRDefault="00C76C27" w:rsidP="00C76C27">
      <w:pPr>
        <w:pStyle w:val="BodyText2"/>
        <w:rPr>
          <w:rFonts w:eastAsia="Calibri" w:cs="Arial"/>
          <w:b w:val="0"/>
          <w:sz w:val="20"/>
          <w:szCs w:val="20"/>
          <w:lang w:val="en-GB" w:bidi="fr-FR"/>
        </w:rPr>
      </w:pPr>
      <w:r w:rsidRPr="004C6F8E">
        <w:rPr>
          <w:rFonts w:eastAsia="Calibri" w:cs="Arial"/>
          <w:b w:val="0"/>
          <w:sz w:val="20"/>
          <w:szCs w:val="20"/>
          <w:lang w:val="en-GB" w:bidi="fr-FR"/>
        </w:rPr>
        <w:t>Source: IMF RE</w:t>
      </w:r>
      <w:r>
        <w:rPr>
          <w:rFonts w:eastAsia="Calibri" w:cs="Arial"/>
          <w:b w:val="0"/>
          <w:sz w:val="20"/>
          <w:szCs w:val="20"/>
          <w:lang w:val="en-GB" w:bidi="fr-FR"/>
        </w:rPr>
        <w:t>O Sub Saharan Africa April 2021</w:t>
      </w:r>
    </w:p>
    <w:p w14:paraId="7332C002" w14:textId="7CFCF0E7" w:rsidR="00C76C27" w:rsidRDefault="00C76C27" w:rsidP="00C76C27">
      <w:pPr>
        <w:pStyle w:val="BodyText2"/>
        <w:rPr>
          <w:rFonts w:eastAsia="Calibri" w:cs="Arial"/>
          <w:b w:val="0"/>
          <w:sz w:val="20"/>
          <w:szCs w:val="20"/>
          <w:lang w:val="en-GB" w:bidi="fr-FR"/>
        </w:rPr>
      </w:pPr>
    </w:p>
    <w:p w14:paraId="1C4B21B0" w14:textId="77777777" w:rsidR="00361C86" w:rsidRPr="00332951" w:rsidRDefault="00361C86" w:rsidP="00361C86">
      <w:pPr>
        <w:jc w:val="both"/>
        <w:rPr>
          <w:rFonts w:ascii="Arial" w:hAnsi="Arial" w:cs="Arial"/>
          <w:lang w:val="en-US"/>
        </w:rPr>
      </w:pPr>
      <w:r w:rsidRPr="00332951">
        <w:rPr>
          <w:rFonts w:ascii="Arial" w:hAnsi="Arial" w:cs="Arial"/>
          <w:lang w:val="en-US"/>
        </w:rPr>
        <w:t>The rise in inflation during the year under review mostly reflects:</w:t>
      </w:r>
    </w:p>
    <w:p w14:paraId="09580C5F" w14:textId="77777777" w:rsidR="00361C86" w:rsidRPr="00332951" w:rsidRDefault="00361C86" w:rsidP="00361C86">
      <w:pPr>
        <w:pStyle w:val="ListParagraph"/>
        <w:numPr>
          <w:ilvl w:val="0"/>
          <w:numId w:val="14"/>
        </w:numPr>
        <w:jc w:val="both"/>
        <w:rPr>
          <w:rFonts w:ascii="Arial" w:hAnsi="Arial" w:cs="Arial"/>
          <w:lang w:val="en-US"/>
        </w:rPr>
      </w:pPr>
      <w:r w:rsidRPr="00332951">
        <w:rPr>
          <w:rFonts w:ascii="Arial" w:hAnsi="Arial" w:cs="Arial"/>
          <w:lang w:val="en-US"/>
        </w:rPr>
        <w:t xml:space="preserve">Higher food prices due to lockdowns and containment measures that affected global, regional and domestic food supply chains, resulting in scarcity of imported and domestically produced food; </w:t>
      </w:r>
    </w:p>
    <w:p w14:paraId="11DF4B2B" w14:textId="77777777" w:rsidR="00361C86" w:rsidRPr="00332951" w:rsidRDefault="00361C86" w:rsidP="00361C86">
      <w:pPr>
        <w:pStyle w:val="ListParagraph"/>
        <w:numPr>
          <w:ilvl w:val="0"/>
          <w:numId w:val="14"/>
        </w:numPr>
        <w:jc w:val="both"/>
        <w:rPr>
          <w:rFonts w:ascii="Arial" w:hAnsi="Arial" w:cs="Arial"/>
          <w:lang w:val="en-US"/>
        </w:rPr>
      </w:pPr>
      <w:r w:rsidRPr="00332951">
        <w:rPr>
          <w:rFonts w:ascii="Arial" w:hAnsi="Arial" w:cs="Arial"/>
          <w:lang w:val="en-US"/>
        </w:rPr>
        <w:t>The impact of depreciation due to plummeting commodity prices that threatened foreign exchange earnings, exerting foreign exchange and inflationary pressures; and</w:t>
      </w:r>
    </w:p>
    <w:p w14:paraId="3E535C01" w14:textId="77777777" w:rsidR="00361C86" w:rsidRPr="00332951" w:rsidRDefault="00361C86" w:rsidP="00361C86">
      <w:pPr>
        <w:pStyle w:val="ListParagraph"/>
        <w:numPr>
          <w:ilvl w:val="0"/>
          <w:numId w:val="14"/>
        </w:numPr>
        <w:jc w:val="both"/>
        <w:rPr>
          <w:rFonts w:ascii="Arial" w:hAnsi="Arial" w:cs="Arial"/>
          <w:lang w:val="en-US"/>
        </w:rPr>
      </w:pPr>
      <w:r w:rsidRPr="00332951">
        <w:rPr>
          <w:rFonts w:ascii="Arial" w:hAnsi="Arial" w:cs="Arial"/>
          <w:lang w:val="en-US"/>
        </w:rPr>
        <w:lastRenderedPageBreak/>
        <w:t xml:space="preserve">A rebound of energy prices towards the end of the year. </w:t>
      </w:r>
    </w:p>
    <w:p w14:paraId="038AEDE1" w14:textId="77777777" w:rsidR="00361C86" w:rsidRDefault="00361C86" w:rsidP="00361C86">
      <w:pPr>
        <w:pStyle w:val="BodyText2"/>
        <w:rPr>
          <w:rFonts w:eastAsia="Calibri" w:cs="Arial"/>
          <w:b w:val="0"/>
          <w:bCs w:val="0"/>
          <w:sz w:val="22"/>
          <w:szCs w:val="22"/>
          <w:lang w:val="en-US" w:bidi="fr-FR"/>
        </w:rPr>
      </w:pPr>
      <w:r w:rsidRPr="00332951">
        <w:rPr>
          <w:rFonts w:eastAsia="Calibri" w:cs="Arial"/>
          <w:b w:val="0"/>
          <w:bCs w:val="0"/>
          <w:sz w:val="22"/>
          <w:szCs w:val="22"/>
          <w:lang w:val="en-US" w:bidi="fr-FR"/>
        </w:rPr>
        <w:t>Inflation is projected to dampen</w:t>
      </w:r>
      <w:r>
        <w:rPr>
          <w:rFonts w:eastAsia="Calibri" w:cs="Arial"/>
          <w:b w:val="0"/>
          <w:bCs w:val="0"/>
          <w:sz w:val="22"/>
          <w:szCs w:val="22"/>
          <w:lang w:val="en-US" w:bidi="fr-FR"/>
        </w:rPr>
        <w:t xml:space="preserve"> in 2021 and 2022, </w:t>
      </w:r>
      <w:r w:rsidRPr="00332951">
        <w:rPr>
          <w:rFonts w:eastAsia="Calibri" w:cs="Arial"/>
          <w:b w:val="0"/>
          <w:bCs w:val="0"/>
          <w:sz w:val="22"/>
          <w:szCs w:val="22"/>
          <w:lang w:val="en-US" w:bidi="fr-FR"/>
        </w:rPr>
        <w:t>largely on account of expected increases of food supply driven by</w:t>
      </w:r>
      <w:r>
        <w:rPr>
          <w:rFonts w:eastAsia="Calibri" w:cs="Arial"/>
          <w:b w:val="0"/>
          <w:bCs w:val="0"/>
          <w:sz w:val="22"/>
          <w:szCs w:val="22"/>
          <w:lang w:val="en-US" w:bidi="fr-FR"/>
        </w:rPr>
        <w:t xml:space="preserve"> expected</w:t>
      </w:r>
      <w:r w:rsidRPr="00332951">
        <w:rPr>
          <w:rFonts w:eastAsia="Calibri" w:cs="Arial"/>
          <w:b w:val="0"/>
          <w:bCs w:val="0"/>
          <w:sz w:val="22"/>
          <w:szCs w:val="22"/>
          <w:lang w:val="en-US" w:bidi="fr-FR"/>
        </w:rPr>
        <w:t xml:space="preserve"> good weather and exchange rate appreciation supported by resumption </w:t>
      </w:r>
      <w:r>
        <w:rPr>
          <w:rFonts w:eastAsia="Calibri" w:cs="Arial"/>
          <w:b w:val="0"/>
          <w:bCs w:val="0"/>
          <w:sz w:val="22"/>
          <w:szCs w:val="22"/>
          <w:lang w:val="en-US" w:bidi="fr-FR"/>
        </w:rPr>
        <w:t xml:space="preserve">of </w:t>
      </w:r>
      <w:r w:rsidRPr="00332951">
        <w:rPr>
          <w:rFonts w:eastAsia="Calibri" w:cs="Arial"/>
          <w:b w:val="0"/>
          <w:bCs w:val="0"/>
          <w:sz w:val="22"/>
          <w:szCs w:val="22"/>
          <w:lang w:val="en-US" w:bidi="fr-FR"/>
        </w:rPr>
        <w:t xml:space="preserve">capital inflows due to a more buoyant external environment. </w:t>
      </w:r>
    </w:p>
    <w:p w14:paraId="0EB2C894" w14:textId="24EBC255" w:rsidR="00C76C27" w:rsidRDefault="00361C86" w:rsidP="00361C86">
      <w:pPr>
        <w:pStyle w:val="BodyText2"/>
        <w:rPr>
          <w:rFonts w:eastAsia="Calibri" w:cs="Arial"/>
          <w:b w:val="0"/>
          <w:sz w:val="20"/>
          <w:szCs w:val="20"/>
          <w:lang w:val="en-GB" w:bidi="fr-FR"/>
        </w:rPr>
      </w:pPr>
      <w:r w:rsidRPr="00332951">
        <w:rPr>
          <w:rFonts w:eastAsia="Calibri" w:cs="Arial"/>
          <w:b w:val="0"/>
          <w:bCs w:val="0"/>
          <w:sz w:val="22"/>
          <w:szCs w:val="22"/>
          <w:lang w:val="en-US" w:bidi="fr-FR"/>
        </w:rPr>
        <w:t xml:space="preserve"> </w:t>
      </w:r>
    </w:p>
    <w:p w14:paraId="2F7AFD10" w14:textId="77777777" w:rsidR="00361C86" w:rsidRPr="00C76C27" w:rsidRDefault="00361C86" w:rsidP="00C76C27">
      <w:pPr>
        <w:pStyle w:val="BodyText2"/>
        <w:rPr>
          <w:rFonts w:eastAsia="Calibri" w:cs="Arial"/>
          <w:b w:val="0"/>
          <w:sz w:val="20"/>
          <w:szCs w:val="20"/>
          <w:lang w:val="en-GB" w:bidi="fr-FR"/>
        </w:rPr>
      </w:pPr>
    </w:p>
    <w:p w14:paraId="08E22B04" w14:textId="27E1D979" w:rsidR="0030356E" w:rsidRPr="009B2E65" w:rsidRDefault="0030356E" w:rsidP="009B2E65">
      <w:pPr>
        <w:pStyle w:val="Heading1"/>
        <w:numPr>
          <w:ilvl w:val="0"/>
          <w:numId w:val="10"/>
        </w:numPr>
        <w:spacing w:before="0" w:after="200" w:line="276" w:lineRule="auto"/>
        <w:rPr>
          <w:rFonts w:ascii="Arial" w:hAnsi="Arial" w:cs="Arial"/>
          <w:sz w:val="22"/>
          <w:szCs w:val="22"/>
        </w:rPr>
      </w:pPr>
      <w:bookmarkStart w:id="13" w:name="_Toc70943217"/>
      <w:r w:rsidRPr="009B2E65">
        <w:rPr>
          <w:rFonts w:ascii="Arial" w:hAnsi="Arial" w:cs="Arial"/>
          <w:sz w:val="22"/>
          <w:szCs w:val="22"/>
        </w:rPr>
        <w:t>Monetary Policy and Exchang</w:t>
      </w:r>
      <w:r w:rsidR="00864567">
        <w:rPr>
          <w:rFonts w:ascii="Arial" w:hAnsi="Arial" w:cs="Arial"/>
          <w:sz w:val="22"/>
          <w:szCs w:val="22"/>
        </w:rPr>
        <w:t>e Rate D</w:t>
      </w:r>
      <w:r w:rsidRPr="009B2E65">
        <w:rPr>
          <w:rFonts w:ascii="Arial" w:hAnsi="Arial" w:cs="Arial"/>
          <w:sz w:val="22"/>
          <w:szCs w:val="22"/>
        </w:rPr>
        <w:t>evelopments</w:t>
      </w:r>
      <w:bookmarkEnd w:id="13"/>
    </w:p>
    <w:p w14:paraId="434E2BD2" w14:textId="216FCA56" w:rsidR="00BF27E8" w:rsidRPr="00332951" w:rsidRDefault="004C6F8E" w:rsidP="002F301F">
      <w:pPr>
        <w:jc w:val="both"/>
        <w:rPr>
          <w:rFonts w:ascii="Arial" w:hAnsi="Arial" w:cs="Arial"/>
          <w:bCs/>
          <w:lang w:val="en-US"/>
        </w:rPr>
      </w:pPr>
      <w:r w:rsidRPr="00332951">
        <w:rPr>
          <w:rFonts w:ascii="Arial" w:hAnsi="Arial" w:cs="Arial"/>
          <w:bCs/>
          <w:lang w:val="en-US"/>
        </w:rPr>
        <w:t xml:space="preserve">During the year into the </w:t>
      </w:r>
      <w:r w:rsidR="009B2E65" w:rsidRPr="00332951">
        <w:rPr>
          <w:rFonts w:ascii="Arial" w:hAnsi="Arial" w:cs="Arial"/>
          <w:bCs/>
          <w:lang w:val="en-US"/>
        </w:rPr>
        <w:t xml:space="preserve">COVID-19 pandemic, a number of </w:t>
      </w:r>
      <w:r w:rsidR="009046B7" w:rsidRPr="00332951">
        <w:rPr>
          <w:rFonts w:ascii="Arial" w:hAnsi="Arial" w:cs="Arial"/>
          <w:bCs/>
          <w:lang w:val="en-US"/>
        </w:rPr>
        <w:t xml:space="preserve">central banks in the region </w:t>
      </w:r>
      <w:r w:rsidR="009B2E65" w:rsidRPr="00332951">
        <w:rPr>
          <w:rFonts w:ascii="Arial" w:hAnsi="Arial" w:cs="Arial"/>
          <w:bCs/>
          <w:lang w:val="en-US"/>
        </w:rPr>
        <w:t>remained largely supportive</w:t>
      </w:r>
      <w:r w:rsidR="009B2E65" w:rsidRPr="00332951">
        <w:rPr>
          <w:rFonts w:ascii="Arial" w:hAnsi="Arial" w:cs="Arial"/>
          <w:lang w:val="en-US"/>
        </w:rPr>
        <w:t>—</w:t>
      </w:r>
      <w:r w:rsidR="009B2E65" w:rsidRPr="00332951">
        <w:rPr>
          <w:rFonts w:ascii="Arial" w:hAnsi="Arial" w:cs="Arial"/>
          <w:bCs/>
          <w:lang w:val="en-US"/>
        </w:rPr>
        <w:t>including shift</w:t>
      </w:r>
      <w:r w:rsidR="002F301F" w:rsidRPr="00332951">
        <w:rPr>
          <w:rFonts w:ascii="Arial" w:hAnsi="Arial" w:cs="Arial"/>
          <w:bCs/>
          <w:lang w:val="en-US"/>
        </w:rPr>
        <w:t>ing</w:t>
      </w:r>
      <w:r w:rsidR="009B2E65" w:rsidRPr="00332951">
        <w:rPr>
          <w:rFonts w:ascii="Arial" w:hAnsi="Arial" w:cs="Arial"/>
          <w:bCs/>
          <w:lang w:val="en-US"/>
        </w:rPr>
        <w:t xml:space="preserve"> priority to crisis management objective instead of strict price stability. </w:t>
      </w:r>
      <w:r w:rsidR="002F301F" w:rsidRPr="00332951">
        <w:rPr>
          <w:rFonts w:ascii="Arial" w:hAnsi="Arial" w:cs="Arial"/>
          <w:bCs/>
          <w:lang w:val="en-US"/>
        </w:rPr>
        <w:t xml:space="preserve">Most central banks </w:t>
      </w:r>
      <w:r w:rsidR="009046B7" w:rsidRPr="00332951">
        <w:rPr>
          <w:rFonts w:ascii="Arial" w:hAnsi="Arial" w:cs="Arial"/>
          <w:bCs/>
          <w:lang w:val="en-US"/>
        </w:rPr>
        <w:t xml:space="preserve">pursued an </w:t>
      </w:r>
      <w:r w:rsidR="00F9584B" w:rsidRPr="00332951">
        <w:rPr>
          <w:rFonts w:ascii="Arial" w:hAnsi="Arial" w:cs="Arial"/>
          <w:bCs/>
          <w:lang w:val="en-US"/>
        </w:rPr>
        <w:t>accommodative</w:t>
      </w:r>
      <w:r w:rsidR="009046B7" w:rsidRPr="00332951">
        <w:rPr>
          <w:rFonts w:ascii="Arial" w:hAnsi="Arial" w:cs="Arial"/>
          <w:bCs/>
          <w:lang w:val="en-US"/>
        </w:rPr>
        <w:t xml:space="preserve"> monetary policy stance</w:t>
      </w:r>
      <w:r w:rsidR="002F301F" w:rsidRPr="00332951">
        <w:rPr>
          <w:rFonts w:ascii="Arial" w:hAnsi="Arial" w:cs="Arial"/>
          <w:bCs/>
          <w:lang w:val="en-US"/>
        </w:rPr>
        <w:t xml:space="preserve"> and allowed the exchange rate to depreciate while conducting foreign exchange interventions to smooth disruptive volatility. In addition, they </w:t>
      </w:r>
      <w:r w:rsidR="00D940CC" w:rsidRPr="00332951">
        <w:rPr>
          <w:rFonts w:ascii="Arial" w:hAnsi="Arial" w:cs="Arial"/>
          <w:bCs/>
          <w:lang w:val="en-US"/>
        </w:rPr>
        <w:t xml:space="preserve">relaxed reserve </w:t>
      </w:r>
      <w:r w:rsidR="002F301F" w:rsidRPr="00332951">
        <w:rPr>
          <w:rFonts w:ascii="Arial" w:hAnsi="Arial" w:cs="Arial"/>
          <w:bCs/>
          <w:lang w:val="en-US"/>
        </w:rPr>
        <w:t xml:space="preserve">and capital conservation buffers </w:t>
      </w:r>
      <w:r w:rsidR="00D940CC" w:rsidRPr="00332951">
        <w:rPr>
          <w:rFonts w:ascii="Arial" w:hAnsi="Arial" w:cs="Arial"/>
          <w:bCs/>
          <w:lang w:val="en-US"/>
        </w:rPr>
        <w:t>requirements for banks in an effort to bo</w:t>
      </w:r>
      <w:r w:rsidR="008D1457" w:rsidRPr="00332951">
        <w:rPr>
          <w:rFonts w:ascii="Arial" w:hAnsi="Arial" w:cs="Arial"/>
          <w:bCs/>
          <w:lang w:val="en-US"/>
        </w:rPr>
        <w:t>o</w:t>
      </w:r>
      <w:r w:rsidR="00D940CC" w:rsidRPr="00332951">
        <w:rPr>
          <w:rFonts w:ascii="Arial" w:hAnsi="Arial" w:cs="Arial"/>
          <w:bCs/>
          <w:lang w:val="en-US"/>
        </w:rPr>
        <w:t xml:space="preserve">st their daily liquidity needs, </w:t>
      </w:r>
      <w:r w:rsidR="00F22DFB" w:rsidRPr="00332951">
        <w:rPr>
          <w:rFonts w:ascii="Arial" w:hAnsi="Arial" w:cs="Arial"/>
          <w:bCs/>
          <w:lang w:val="en-US"/>
        </w:rPr>
        <w:t>allow</w:t>
      </w:r>
      <w:r w:rsidR="002F301F" w:rsidRPr="00332951">
        <w:rPr>
          <w:rFonts w:ascii="Arial" w:hAnsi="Arial" w:cs="Arial"/>
          <w:bCs/>
          <w:lang w:val="en-US"/>
        </w:rPr>
        <w:t xml:space="preserve">ed </w:t>
      </w:r>
      <w:r w:rsidR="00F22DFB" w:rsidRPr="00332951">
        <w:rPr>
          <w:rFonts w:ascii="Arial" w:hAnsi="Arial" w:cs="Arial"/>
          <w:bCs/>
          <w:lang w:val="en-US"/>
        </w:rPr>
        <w:t>commercial banks to restructure outstanding loans of borrowers facing temporary cash flow challenges</w:t>
      </w:r>
      <w:r w:rsidR="002F301F" w:rsidRPr="00332951">
        <w:rPr>
          <w:rFonts w:ascii="Arial" w:hAnsi="Arial" w:cs="Arial"/>
          <w:bCs/>
          <w:lang w:val="en-US"/>
        </w:rPr>
        <w:t xml:space="preserve"> and i</w:t>
      </w:r>
      <w:r w:rsidR="0002606A" w:rsidRPr="00332951">
        <w:rPr>
          <w:rFonts w:ascii="Arial" w:hAnsi="Arial" w:cs="Arial"/>
          <w:bCs/>
          <w:lang w:val="en-US"/>
        </w:rPr>
        <w:t xml:space="preserve">ncreased limits on agents and corporate wallets for digital transactions, </w:t>
      </w:r>
      <w:r w:rsidR="00D940CC" w:rsidRPr="00332951">
        <w:rPr>
          <w:rFonts w:ascii="Arial" w:hAnsi="Arial" w:cs="Arial"/>
          <w:bCs/>
          <w:lang w:val="en-US"/>
        </w:rPr>
        <w:t>among other measures.</w:t>
      </w:r>
      <w:r w:rsidR="002F301F" w:rsidRPr="00332951">
        <w:rPr>
          <w:rFonts w:ascii="Arial" w:hAnsi="Arial" w:cs="Arial"/>
          <w:bCs/>
          <w:lang w:val="en-US"/>
        </w:rPr>
        <w:t xml:space="preserve"> However, going forward, and in the context of </w:t>
      </w:r>
      <w:r w:rsidR="00F71C69" w:rsidRPr="00332951">
        <w:rPr>
          <w:rFonts w:ascii="Arial" w:hAnsi="Arial" w:cs="Arial"/>
          <w:bCs/>
          <w:lang w:val="en-US"/>
        </w:rPr>
        <w:t xml:space="preserve">optimism about </w:t>
      </w:r>
      <w:r w:rsidR="00D86652" w:rsidRPr="00332951">
        <w:rPr>
          <w:rFonts w:ascii="Arial" w:hAnsi="Arial" w:cs="Arial"/>
          <w:bCs/>
          <w:lang w:val="en-US"/>
        </w:rPr>
        <w:t xml:space="preserve">global economic recovery, </w:t>
      </w:r>
      <w:r w:rsidR="002F301F" w:rsidRPr="00332951">
        <w:rPr>
          <w:rFonts w:ascii="Arial" w:hAnsi="Arial" w:cs="Arial"/>
          <w:bCs/>
          <w:lang w:val="en-US"/>
        </w:rPr>
        <w:t>rising food and commodity prices</w:t>
      </w:r>
      <w:r w:rsidR="00D86652" w:rsidRPr="00332951">
        <w:rPr>
          <w:rFonts w:ascii="Arial" w:hAnsi="Arial" w:cs="Arial"/>
          <w:bCs/>
          <w:lang w:val="en-US"/>
        </w:rPr>
        <w:t xml:space="preserve"> and the risks this pose for domestic inflation</w:t>
      </w:r>
      <w:r w:rsidR="002F301F" w:rsidRPr="00332951">
        <w:rPr>
          <w:rFonts w:ascii="Arial" w:hAnsi="Arial" w:cs="Arial"/>
          <w:bCs/>
          <w:lang w:val="en-US"/>
        </w:rPr>
        <w:t xml:space="preserve">, </w:t>
      </w:r>
      <w:r w:rsidR="007431D1" w:rsidRPr="00332951">
        <w:rPr>
          <w:rFonts w:ascii="Arial" w:hAnsi="Arial" w:cs="Arial"/>
          <w:bCs/>
          <w:lang w:val="en-US"/>
        </w:rPr>
        <w:t xml:space="preserve">the room for supportive monetary policy </w:t>
      </w:r>
      <w:r w:rsidR="00D86652" w:rsidRPr="00332951">
        <w:rPr>
          <w:rFonts w:ascii="Arial" w:hAnsi="Arial" w:cs="Arial"/>
          <w:bCs/>
          <w:lang w:val="en-US"/>
        </w:rPr>
        <w:t xml:space="preserve">could </w:t>
      </w:r>
      <w:r w:rsidR="007431D1" w:rsidRPr="00332951">
        <w:rPr>
          <w:rFonts w:ascii="Arial" w:hAnsi="Arial" w:cs="Arial"/>
          <w:bCs/>
          <w:lang w:val="en-US"/>
        </w:rPr>
        <w:t>increasingly shrink</w:t>
      </w:r>
      <w:r w:rsidR="002F301F" w:rsidRPr="00332951">
        <w:rPr>
          <w:rFonts w:ascii="Arial" w:hAnsi="Arial" w:cs="Arial"/>
          <w:bCs/>
          <w:lang w:val="en-US"/>
        </w:rPr>
        <w:t xml:space="preserve">. </w:t>
      </w:r>
      <w:r w:rsidR="007431D1" w:rsidRPr="00332951">
        <w:rPr>
          <w:rFonts w:ascii="Arial" w:hAnsi="Arial" w:cs="Arial"/>
          <w:bCs/>
          <w:lang w:val="en-US"/>
        </w:rPr>
        <w:t>Indeed, h</w:t>
      </w:r>
      <w:r w:rsidR="002F301F" w:rsidRPr="00332951">
        <w:rPr>
          <w:rFonts w:ascii="Arial" w:hAnsi="Arial" w:cs="Arial"/>
          <w:bCs/>
          <w:lang w:val="en-US"/>
        </w:rPr>
        <w:t>aving lo</w:t>
      </w:r>
      <w:r w:rsidR="00332951">
        <w:rPr>
          <w:rFonts w:ascii="Arial" w:hAnsi="Arial" w:cs="Arial"/>
          <w:bCs/>
          <w:lang w:val="en-US"/>
        </w:rPr>
        <w:t>osened policy through 2020, some</w:t>
      </w:r>
      <w:r w:rsidR="002F301F" w:rsidRPr="00332951">
        <w:rPr>
          <w:rFonts w:ascii="Arial" w:hAnsi="Arial" w:cs="Arial"/>
          <w:bCs/>
          <w:lang w:val="en-US"/>
        </w:rPr>
        <w:t xml:space="preserve"> </w:t>
      </w:r>
      <w:r w:rsidR="007431D1" w:rsidRPr="00332951">
        <w:rPr>
          <w:rFonts w:ascii="Arial" w:hAnsi="Arial" w:cs="Arial"/>
          <w:bCs/>
          <w:lang w:val="en-US"/>
        </w:rPr>
        <w:t xml:space="preserve">central banks </w:t>
      </w:r>
      <w:r w:rsidR="00D86652" w:rsidRPr="00332951">
        <w:rPr>
          <w:rFonts w:ascii="Arial" w:hAnsi="Arial" w:cs="Arial"/>
          <w:bCs/>
          <w:lang w:val="en-US"/>
        </w:rPr>
        <w:t xml:space="preserve">in the region </w:t>
      </w:r>
      <w:r w:rsidR="002F301F" w:rsidRPr="00332951">
        <w:rPr>
          <w:rFonts w:ascii="Arial" w:hAnsi="Arial" w:cs="Arial"/>
          <w:bCs/>
          <w:lang w:val="en-US"/>
        </w:rPr>
        <w:t xml:space="preserve">are keeping policy rates on hold, </w:t>
      </w:r>
      <w:r w:rsidR="007431D1" w:rsidRPr="00332951">
        <w:rPr>
          <w:rFonts w:ascii="Arial" w:hAnsi="Arial" w:cs="Arial"/>
          <w:bCs/>
          <w:lang w:val="en-US"/>
        </w:rPr>
        <w:t xml:space="preserve">while </w:t>
      </w:r>
      <w:r w:rsidR="002F301F" w:rsidRPr="00332951">
        <w:rPr>
          <w:rFonts w:ascii="Arial" w:hAnsi="Arial" w:cs="Arial"/>
          <w:bCs/>
          <w:lang w:val="en-US"/>
        </w:rPr>
        <w:t xml:space="preserve">some </w:t>
      </w:r>
      <w:r w:rsidR="00332951">
        <w:rPr>
          <w:rFonts w:ascii="Arial" w:hAnsi="Arial" w:cs="Arial"/>
          <w:bCs/>
          <w:lang w:val="en-US"/>
        </w:rPr>
        <w:t xml:space="preserve">others </w:t>
      </w:r>
      <w:r w:rsidR="007431D1" w:rsidRPr="00332951">
        <w:rPr>
          <w:rFonts w:ascii="Arial" w:hAnsi="Arial" w:cs="Arial"/>
          <w:bCs/>
          <w:lang w:val="en-US"/>
        </w:rPr>
        <w:t xml:space="preserve">are already </w:t>
      </w:r>
      <w:r w:rsidR="002F301F" w:rsidRPr="00332951">
        <w:rPr>
          <w:rFonts w:ascii="Arial" w:hAnsi="Arial" w:cs="Arial"/>
          <w:bCs/>
          <w:lang w:val="en-US"/>
        </w:rPr>
        <w:t>revers</w:t>
      </w:r>
      <w:r w:rsidR="007431D1" w:rsidRPr="00332951">
        <w:rPr>
          <w:rFonts w:ascii="Arial" w:hAnsi="Arial" w:cs="Arial"/>
          <w:bCs/>
          <w:lang w:val="en-US"/>
        </w:rPr>
        <w:t xml:space="preserve">ing </w:t>
      </w:r>
      <w:r w:rsidR="002F301F" w:rsidRPr="00332951">
        <w:rPr>
          <w:rFonts w:ascii="Arial" w:hAnsi="Arial" w:cs="Arial"/>
          <w:bCs/>
          <w:lang w:val="en-US"/>
        </w:rPr>
        <w:t xml:space="preserve">some of </w:t>
      </w:r>
      <w:r w:rsidR="00361C86">
        <w:rPr>
          <w:rFonts w:ascii="Arial" w:hAnsi="Arial" w:cs="Arial"/>
          <w:bCs/>
          <w:lang w:val="en-US"/>
        </w:rPr>
        <w:t xml:space="preserve">the </w:t>
      </w:r>
      <w:r w:rsidR="007431D1" w:rsidRPr="00332951">
        <w:rPr>
          <w:rFonts w:ascii="Arial" w:hAnsi="Arial" w:cs="Arial"/>
          <w:bCs/>
          <w:lang w:val="en-US"/>
        </w:rPr>
        <w:t xml:space="preserve">2020 </w:t>
      </w:r>
      <w:r w:rsidR="002F301F" w:rsidRPr="00332951">
        <w:rPr>
          <w:rFonts w:ascii="Arial" w:hAnsi="Arial" w:cs="Arial"/>
          <w:bCs/>
          <w:lang w:val="en-US"/>
        </w:rPr>
        <w:t>rate cuts</w:t>
      </w:r>
      <w:r w:rsidR="007431D1" w:rsidRPr="00332951">
        <w:rPr>
          <w:rFonts w:ascii="Arial" w:hAnsi="Arial" w:cs="Arial"/>
          <w:bCs/>
          <w:lang w:val="en-US"/>
        </w:rPr>
        <w:t xml:space="preserve">. </w:t>
      </w:r>
    </w:p>
    <w:p w14:paraId="0C4B04D2" w14:textId="102CD080" w:rsidR="00255653" w:rsidRPr="00332951" w:rsidRDefault="00AA4168" w:rsidP="00D86652">
      <w:pPr>
        <w:jc w:val="both"/>
        <w:rPr>
          <w:rFonts w:ascii="Arial" w:hAnsi="Arial" w:cs="Arial"/>
          <w:bCs/>
          <w:lang w:val="en-US"/>
        </w:rPr>
      </w:pPr>
      <w:r w:rsidRPr="00332951">
        <w:rPr>
          <w:rFonts w:ascii="Arial" w:hAnsi="Arial" w:cs="Arial"/>
          <w:bCs/>
          <w:lang w:val="en-US"/>
        </w:rPr>
        <w:t>Economic disruptions brought about by COVID-19 resulted in tightening of global financing conditions, unprecedented capital outflow and sharp decline in remittances and tourism receipts. Th</w:t>
      </w:r>
      <w:r w:rsidR="00220B44" w:rsidRPr="00332951">
        <w:rPr>
          <w:rFonts w:ascii="Arial" w:hAnsi="Arial" w:cs="Arial"/>
          <w:bCs/>
          <w:lang w:val="en-US"/>
        </w:rPr>
        <w:t>ese</w:t>
      </w:r>
      <w:r w:rsidRPr="00332951">
        <w:rPr>
          <w:rFonts w:ascii="Arial" w:hAnsi="Arial" w:cs="Arial"/>
          <w:bCs/>
          <w:lang w:val="en-US"/>
        </w:rPr>
        <w:t xml:space="preserve"> meant severe fiscal and exchange rate pressure across many countries in the region. </w:t>
      </w:r>
      <w:r w:rsidR="00BF2FEB" w:rsidRPr="00332951">
        <w:rPr>
          <w:rFonts w:ascii="Arial" w:hAnsi="Arial" w:cs="Arial"/>
          <w:bCs/>
          <w:lang w:val="en-US"/>
        </w:rPr>
        <w:t>The tight</w:t>
      </w:r>
      <w:r w:rsidR="00D86652" w:rsidRPr="00332951">
        <w:rPr>
          <w:rFonts w:ascii="Arial" w:hAnsi="Arial" w:cs="Arial"/>
          <w:bCs/>
          <w:lang w:val="en-US"/>
        </w:rPr>
        <w:t xml:space="preserve"> </w:t>
      </w:r>
      <w:r w:rsidR="00BF2FEB" w:rsidRPr="00332951">
        <w:rPr>
          <w:rFonts w:ascii="Arial" w:hAnsi="Arial" w:cs="Arial"/>
          <w:bCs/>
          <w:lang w:val="en-US"/>
        </w:rPr>
        <w:t>global financial conditions reduce</w:t>
      </w:r>
      <w:r w:rsidR="00D86652" w:rsidRPr="00332951">
        <w:rPr>
          <w:rFonts w:ascii="Arial" w:hAnsi="Arial" w:cs="Arial"/>
          <w:bCs/>
          <w:lang w:val="en-US"/>
        </w:rPr>
        <w:t>d</w:t>
      </w:r>
      <w:r w:rsidR="00BF2FEB" w:rsidRPr="00332951">
        <w:rPr>
          <w:rFonts w:ascii="Arial" w:hAnsi="Arial" w:cs="Arial"/>
          <w:bCs/>
          <w:lang w:val="en-US"/>
        </w:rPr>
        <w:t xml:space="preserve"> investment flows to the region</w:t>
      </w:r>
      <w:r w:rsidR="00D86652" w:rsidRPr="00332951">
        <w:rPr>
          <w:rFonts w:ascii="Arial" w:hAnsi="Arial" w:cs="Arial"/>
          <w:bCs/>
          <w:lang w:val="en-US"/>
        </w:rPr>
        <w:t xml:space="preserve">, putting a </w:t>
      </w:r>
      <w:r w:rsidR="00BF2FEB" w:rsidRPr="00332951">
        <w:rPr>
          <w:rFonts w:ascii="Arial" w:hAnsi="Arial" w:cs="Arial"/>
          <w:bCs/>
          <w:lang w:val="en-US"/>
        </w:rPr>
        <w:t>strain on the required resources to deal with the pandemic and support economic recovery.</w:t>
      </w:r>
      <w:r w:rsidR="00D86652" w:rsidRPr="00332951">
        <w:rPr>
          <w:rFonts w:ascii="Arial" w:hAnsi="Arial" w:cs="Arial"/>
          <w:bCs/>
          <w:lang w:val="en-US"/>
        </w:rPr>
        <w:t xml:space="preserve"> As a consequence, either gov</w:t>
      </w:r>
      <w:r w:rsidR="00BF2FEB" w:rsidRPr="00332951">
        <w:rPr>
          <w:rFonts w:ascii="Arial" w:hAnsi="Arial" w:cs="Arial"/>
          <w:bCs/>
          <w:lang w:val="en-US"/>
        </w:rPr>
        <w:t xml:space="preserve">ernment </w:t>
      </w:r>
      <w:r w:rsidR="00D86652" w:rsidRPr="00332951">
        <w:rPr>
          <w:rFonts w:ascii="Arial" w:hAnsi="Arial" w:cs="Arial"/>
          <w:bCs/>
          <w:lang w:val="en-US"/>
        </w:rPr>
        <w:t xml:space="preserve">had to cut </w:t>
      </w:r>
      <w:r w:rsidR="00BF2FEB" w:rsidRPr="00332951">
        <w:rPr>
          <w:rFonts w:ascii="Arial" w:hAnsi="Arial" w:cs="Arial"/>
          <w:bCs/>
          <w:lang w:val="en-US"/>
        </w:rPr>
        <w:t xml:space="preserve">spending, or </w:t>
      </w:r>
      <w:r w:rsidR="00255653" w:rsidRPr="00332951">
        <w:rPr>
          <w:rFonts w:ascii="Arial" w:hAnsi="Arial" w:cs="Arial"/>
          <w:bCs/>
          <w:lang w:val="en-US"/>
        </w:rPr>
        <w:t xml:space="preserve">had a </w:t>
      </w:r>
      <w:r w:rsidR="0038074B" w:rsidRPr="00332951">
        <w:rPr>
          <w:rFonts w:ascii="Arial" w:hAnsi="Arial" w:cs="Arial"/>
          <w:bCs/>
          <w:lang w:val="en-US"/>
        </w:rPr>
        <w:t>buildup</w:t>
      </w:r>
      <w:r w:rsidR="00BF2FEB" w:rsidRPr="00332951">
        <w:rPr>
          <w:rFonts w:ascii="Arial" w:hAnsi="Arial" w:cs="Arial"/>
          <w:bCs/>
          <w:lang w:val="en-US"/>
        </w:rPr>
        <w:t xml:space="preserve"> </w:t>
      </w:r>
      <w:r w:rsidR="00255653" w:rsidRPr="00332951">
        <w:rPr>
          <w:rFonts w:ascii="Arial" w:hAnsi="Arial" w:cs="Arial"/>
          <w:bCs/>
          <w:lang w:val="en-US"/>
        </w:rPr>
        <w:t xml:space="preserve">in </w:t>
      </w:r>
      <w:r w:rsidR="00BF2FEB" w:rsidRPr="00332951">
        <w:rPr>
          <w:rFonts w:ascii="Arial" w:hAnsi="Arial" w:cs="Arial"/>
          <w:bCs/>
          <w:lang w:val="en-US"/>
        </w:rPr>
        <w:t xml:space="preserve">arrears, or </w:t>
      </w:r>
      <w:r w:rsidR="00255653" w:rsidRPr="00332951">
        <w:rPr>
          <w:rFonts w:ascii="Arial" w:hAnsi="Arial" w:cs="Arial"/>
          <w:bCs/>
          <w:lang w:val="en-US"/>
        </w:rPr>
        <w:t xml:space="preserve">allowed </w:t>
      </w:r>
      <w:r w:rsidR="00BF2FEB" w:rsidRPr="00332951">
        <w:rPr>
          <w:rFonts w:ascii="Arial" w:hAnsi="Arial" w:cs="Arial"/>
          <w:bCs/>
          <w:lang w:val="en-US"/>
        </w:rPr>
        <w:t>an increase in government borrowing from the domestic market w</w:t>
      </w:r>
      <w:r w:rsidR="00255653" w:rsidRPr="00332951">
        <w:rPr>
          <w:rFonts w:ascii="Arial" w:hAnsi="Arial" w:cs="Arial"/>
          <w:bCs/>
          <w:lang w:val="en-US"/>
        </w:rPr>
        <w:t xml:space="preserve">hile balancing the </w:t>
      </w:r>
      <w:r w:rsidR="00BF2FEB" w:rsidRPr="00332951">
        <w:rPr>
          <w:rFonts w:ascii="Arial" w:hAnsi="Arial" w:cs="Arial"/>
          <w:bCs/>
          <w:lang w:val="en-US"/>
        </w:rPr>
        <w:t xml:space="preserve">consequences </w:t>
      </w:r>
      <w:r w:rsidR="00255653" w:rsidRPr="00332951">
        <w:rPr>
          <w:rFonts w:ascii="Arial" w:hAnsi="Arial" w:cs="Arial"/>
          <w:bCs/>
          <w:lang w:val="en-US"/>
        </w:rPr>
        <w:t xml:space="preserve">this would have </w:t>
      </w:r>
      <w:r w:rsidR="00BF2FEB" w:rsidRPr="00332951">
        <w:rPr>
          <w:rFonts w:ascii="Arial" w:hAnsi="Arial" w:cs="Arial"/>
          <w:bCs/>
          <w:lang w:val="en-US"/>
        </w:rPr>
        <w:t xml:space="preserve">on domestic credit and economic recovery. </w:t>
      </w:r>
      <w:r w:rsidR="00255653" w:rsidRPr="00332951">
        <w:rPr>
          <w:rFonts w:ascii="Arial" w:hAnsi="Arial" w:cs="Arial"/>
          <w:bCs/>
          <w:lang w:val="en-US"/>
        </w:rPr>
        <w:t xml:space="preserve">Going forward, should the pandemic </w:t>
      </w:r>
      <w:r w:rsidR="00324D6F" w:rsidRPr="00332951">
        <w:rPr>
          <w:rFonts w:ascii="Arial" w:hAnsi="Arial" w:cs="Arial"/>
          <w:bCs/>
          <w:lang w:val="en-US"/>
        </w:rPr>
        <w:t xml:space="preserve">persist </w:t>
      </w:r>
      <w:r w:rsidR="003E38AE" w:rsidRPr="00332951">
        <w:rPr>
          <w:rFonts w:ascii="Arial" w:hAnsi="Arial" w:cs="Arial"/>
          <w:bCs/>
          <w:lang w:val="en-US"/>
        </w:rPr>
        <w:t xml:space="preserve">and tight global financial conditions </w:t>
      </w:r>
      <w:r w:rsidR="00324D6F" w:rsidRPr="00332951">
        <w:rPr>
          <w:rFonts w:ascii="Arial" w:hAnsi="Arial" w:cs="Arial"/>
          <w:bCs/>
          <w:lang w:val="en-US"/>
        </w:rPr>
        <w:t>fail to ease as expected</w:t>
      </w:r>
      <w:r w:rsidR="003E38AE" w:rsidRPr="00332951">
        <w:rPr>
          <w:rFonts w:ascii="Arial" w:hAnsi="Arial" w:cs="Arial"/>
          <w:bCs/>
          <w:lang w:val="en-US"/>
        </w:rPr>
        <w:t xml:space="preserve">, governments might still have to </w:t>
      </w:r>
      <w:r w:rsidR="00255653" w:rsidRPr="00332951">
        <w:rPr>
          <w:rFonts w:ascii="Arial" w:hAnsi="Arial" w:cs="Arial"/>
          <w:bCs/>
          <w:lang w:val="en-US"/>
        </w:rPr>
        <w:t xml:space="preserve">use such financing as a last resort, </w:t>
      </w:r>
      <w:r w:rsidR="003E38AE" w:rsidRPr="00332951">
        <w:rPr>
          <w:rFonts w:ascii="Arial" w:hAnsi="Arial" w:cs="Arial"/>
          <w:bCs/>
          <w:lang w:val="en-US"/>
        </w:rPr>
        <w:t xml:space="preserve">but this should be on </w:t>
      </w:r>
      <w:r w:rsidR="00255653" w:rsidRPr="00332951">
        <w:rPr>
          <w:rFonts w:ascii="Arial" w:hAnsi="Arial" w:cs="Arial"/>
          <w:bCs/>
          <w:lang w:val="en-US"/>
        </w:rPr>
        <w:t>market terms</w:t>
      </w:r>
      <w:r w:rsidR="003E38AE" w:rsidRPr="00332951">
        <w:rPr>
          <w:rFonts w:ascii="Arial" w:hAnsi="Arial" w:cs="Arial"/>
          <w:bCs/>
          <w:lang w:val="en-US"/>
        </w:rPr>
        <w:t xml:space="preserve">. </w:t>
      </w:r>
    </w:p>
    <w:p w14:paraId="6CF06774" w14:textId="04052BC5" w:rsidR="00AA4168" w:rsidRPr="00332951" w:rsidRDefault="00861114" w:rsidP="00A04EF3">
      <w:pPr>
        <w:spacing w:after="120"/>
        <w:jc w:val="both"/>
        <w:rPr>
          <w:rFonts w:ascii="Arial" w:hAnsi="Arial" w:cs="Arial"/>
          <w:bCs/>
          <w:lang w:val="en-US"/>
        </w:rPr>
      </w:pPr>
      <w:r w:rsidRPr="00332951">
        <w:rPr>
          <w:rFonts w:ascii="Arial" w:hAnsi="Arial" w:cs="Arial"/>
          <w:bCs/>
          <w:lang w:val="en-US"/>
        </w:rPr>
        <w:t xml:space="preserve">Although fiscal policy </w:t>
      </w:r>
      <w:r w:rsidR="00302867" w:rsidRPr="00332951">
        <w:rPr>
          <w:rFonts w:ascii="Arial" w:hAnsi="Arial" w:cs="Arial"/>
          <w:bCs/>
          <w:lang w:val="en-US"/>
        </w:rPr>
        <w:t>is</w:t>
      </w:r>
      <w:r w:rsidRPr="00332951">
        <w:rPr>
          <w:rFonts w:ascii="Arial" w:hAnsi="Arial" w:cs="Arial"/>
          <w:bCs/>
          <w:lang w:val="en-US"/>
        </w:rPr>
        <w:t xml:space="preserve"> key in addressing the current challenges posed by COVID-19 pandemic, monetary and exchange rate polic</w:t>
      </w:r>
      <w:r w:rsidR="007B1F7D" w:rsidRPr="00332951">
        <w:rPr>
          <w:rFonts w:ascii="Arial" w:hAnsi="Arial" w:cs="Arial"/>
          <w:bCs/>
          <w:lang w:val="en-US"/>
        </w:rPr>
        <w:t>ies</w:t>
      </w:r>
      <w:r w:rsidRPr="00332951">
        <w:rPr>
          <w:rFonts w:ascii="Arial" w:hAnsi="Arial" w:cs="Arial"/>
          <w:bCs/>
          <w:lang w:val="en-US"/>
        </w:rPr>
        <w:t xml:space="preserve"> can also play an important role in dampening the economic shock. As such t</w:t>
      </w:r>
      <w:r w:rsidR="001D3A63" w:rsidRPr="00332951">
        <w:rPr>
          <w:rFonts w:ascii="Arial" w:hAnsi="Arial" w:cs="Arial"/>
          <w:bCs/>
          <w:lang w:val="en-US"/>
        </w:rPr>
        <w:t>here is need to ensure soundness of banking sector through increased liquidity.</w:t>
      </w:r>
      <w:r w:rsidR="00FC4A09" w:rsidRPr="00332951">
        <w:rPr>
          <w:rFonts w:ascii="Arial" w:hAnsi="Arial" w:cs="Arial"/>
          <w:bCs/>
          <w:lang w:val="en-US"/>
        </w:rPr>
        <w:t xml:space="preserve"> Also</w:t>
      </w:r>
      <w:r w:rsidR="00302867" w:rsidRPr="00332951">
        <w:rPr>
          <w:rFonts w:ascii="Arial" w:hAnsi="Arial" w:cs="Arial"/>
          <w:bCs/>
          <w:lang w:val="en-US"/>
        </w:rPr>
        <w:t>,</w:t>
      </w:r>
      <w:r w:rsidR="00FC4A09" w:rsidRPr="00332951">
        <w:rPr>
          <w:rFonts w:ascii="Arial" w:hAnsi="Arial" w:cs="Arial"/>
          <w:bCs/>
          <w:lang w:val="en-US"/>
        </w:rPr>
        <w:t xml:space="preserve"> central banks in the region should consider easing monetary policy especially in countries where inflation is not an immediate concern in order to provide the economy with the necessary impetus to reverse the growth contractionary phase. </w:t>
      </w:r>
      <w:r w:rsidR="007B1F7D" w:rsidRPr="00332951">
        <w:rPr>
          <w:rFonts w:ascii="Arial" w:hAnsi="Arial" w:cs="Arial"/>
          <w:bCs/>
          <w:lang w:val="en-US"/>
        </w:rPr>
        <w:t xml:space="preserve">For </w:t>
      </w:r>
      <w:r w:rsidR="00AA4168" w:rsidRPr="00332951">
        <w:rPr>
          <w:rFonts w:ascii="Arial" w:hAnsi="Arial" w:cs="Arial"/>
          <w:bCs/>
          <w:lang w:val="en-US"/>
        </w:rPr>
        <w:t xml:space="preserve">countries in the region under flexible exchange rate regimes and enjoying low inflation and absence of large currency mismatches, </w:t>
      </w:r>
      <w:r w:rsidR="00302867" w:rsidRPr="00332951">
        <w:rPr>
          <w:rFonts w:ascii="Arial" w:hAnsi="Arial" w:cs="Arial"/>
          <w:bCs/>
          <w:lang w:val="en-US"/>
        </w:rPr>
        <w:t xml:space="preserve">the </w:t>
      </w:r>
      <w:r w:rsidR="00AA4168" w:rsidRPr="00332951">
        <w:rPr>
          <w:rFonts w:ascii="Arial" w:hAnsi="Arial" w:cs="Arial"/>
          <w:bCs/>
          <w:lang w:val="en-US"/>
        </w:rPr>
        <w:t xml:space="preserve">exchange rate </w:t>
      </w:r>
      <w:r w:rsidR="00302867" w:rsidRPr="00332951">
        <w:rPr>
          <w:rFonts w:ascii="Arial" w:hAnsi="Arial" w:cs="Arial"/>
          <w:bCs/>
          <w:lang w:val="en-US"/>
        </w:rPr>
        <w:t xml:space="preserve">could </w:t>
      </w:r>
      <w:r w:rsidR="00AA4168" w:rsidRPr="00332951">
        <w:rPr>
          <w:rFonts w:ascii="Arial" w:hAnsi="Arial" w:cs="Arial"/>
          <w:bCs/>
          <w:lang w:val="en-US"/>
        </w:rPr>
        <w:t xml:space="preserve">be </w:t>
      </w:r>
      <w:r w:rsidR="00302867" w:rsidRPr="00332951">
        <w:rPr>
          <w:rFonts w:ascii="Arial" w:hAnsi="Arial" w:cs="Arial"/>
          <w:bCs/>
          <w:lang w:val="en-US"/>
        </w:rPr>
        <w:t xml:space="preserve">allowed to be the </w:t>
      </w:r>
      <w:r w:rsidR="00AA4168" w:rsidRPr="00332951">
        <w:rPr>
          <w:rFonts w:ascii="Arial" w:hAnsi="Arial" w:cs="Arial"/>
          <w:bCs/>
          <w:lang w:val="en-US"/>
        </w:rPr>
        <w:t>key shock absorber</w:t>
      </w:r>
      <w:r w:rsidRPr="00332951">
        <w:rPr>
          <w:rFonts w:ascii="Arial" w:hAnsi="Arial" w:cs="Arial"/>
          <w:bCs/>
          <w:lang w:val="en-US"/>
        </w:rPr>
        <w:t>.</w:t>
      </w:r>
      <w:r w:rsidR="00AA4168" w:rsidRPr="00332951">
        <w:rPr>
          <w:rFonts w:ascii="Arial" w:hAnsi="Arial" w:cs="Arial"/>
          <w:bCs/>
          <w:lang w:val="en-US"/>
        </w:rPr>
        <w:t xml:space="preserve"> Foreign exchange interventions to </w:t>
      </w:r>
      <w:r w:rsidRPr="00332951">
        <w:rPr>
          <w:rFonts w:ascii="Arial" w:hAnsi="Arial" w:cs="Arial"/>
          <w:bCs/>
          <w:lang w:val="en-US"/>
        </w:rPr>
        <w:t>smooth exchange rate volatility will be desirable for countries with shallow foreign exchange markets and large un</w:t>
      </w:r>
      <w:r w:rsidR="00D940CC" w:rsidRPr="00332951">
        <w:rPr>
          <w:rFonts w:ascii="Arial" w:hAnsi="Arial" w:cs="Arial"/>
          <w:bCs/>
          <w:lang w:val="en-US"/>
        </w:rPr>
        <w:t>-</w:t>
      </w:r>
      <w:r w:rsidRPr="00332951">
        <w:rPr>
          <w:rFonts w:ascii="Arial" w:hAnsi="Arial" w:cs="Arial"/>
          <w:bCs/>
          <w:lang w:val="en-US"/>
        </w:rPr>
        <w:t>hedged balance sheet exposures.</w:t>
      </w:r>
    </w:p>
    <w:p w14:paraId="591A0836" w14:textId="77777777" w:rsidR="001A7612" w:rsidRDefault="001A7612" w:rsidP="00A04EF3">
      <w:pPr>
        <w:spacing w:after="120"/>
        <w:jc w:val="both"/>
        <w:rPr>
          <w:rFonts w:ascii="Arial" w:hAnsi="Arial" w:cs="Arial"/>
          <w:bCs/>
          <w:lang w:val="en-US"/>
        </w:rPr>
      </w:pPr>
    </w:p>
    <w:p w14:paraId="677856BD" w14:textId="77777777" w:rsidR="002C63B7" w:rsidRPr="00324D6F" w:rsidRDefault="002C63B7" w:rsidP="002C63B7">
      <w:pPr>
        <w:pStyle w:val="Heading1"/>
        <w:numPr>
          <w:ilvl w:val="0"/>
          <w:numId w:val="10"/>
        </w:numPr>
        <w:spacing w:before="0" w:after="120" w:line="276" w:lineRule="auto"/>
        <w:rPr>
          <w:rFonts w:ascii="Arial" w:hAnsi="Arial" w:cs="Arial"/>
          <w:sz w:val="22"/>
          <w:szCs w:val="22"/>
        </w:rPr>
      </w:pPr>
      <w:bookmarkStart w:id="14" w:name="_Toc505769857"/>
      <w:bookmarkStart w:id="15" w:name="_Toc70943218"/>
      <w:r w:rsidRPr="00324D6F">
        <w:rPr>
          <w:rFonts w:ascii="Arial" w:hAnsi="Arial" w:cs="Arial"/>
          <w:sz w:val="22"/>
          <w:szCs w:val="22"/>
        </w:rPr>
        <w:t>Overall Fiscal Balance Including Grants</w:t>
      </w:r>
      <w:bookmarkEnd w:id="14"/>
      <w:bookmarkEnd w:id="15"/>
    </w:p>
    <w:p w14:paraId="0EA490DE" w14:textId="03DC3C9F" w:rsidR="002C63B7" w:rsidRPr="00332951" w:rsidRDefault="002C63B7" w:rsidP="002C63B7">
      <w:pPr>
        <w:jc w:val="both"/>
        <w:rPr>
          <w:rFonts w:ascii="Arial" w:hAnsi="Arial" w:cs="Arial"/>
          <w:lang w:val="en-US"/>
        </w:rPr>
      </w:pPr>
      <w:r w:rsidRPr="00332951">
        <w:rPr>
          <w:rFonts w:ascii="Arial" w:hAnsi="Arial" w:cs="Arial"/>
          <w:lang w:val="en-US"/>
        </w:rPr>
        <w:t>The region’s average fiscal deficit including grants as a percentage of GDP widened by 0.9 percentage points to -5.</w:t>
      </w:r>
      <w:r w:rsidR="00E1798F">
        <w:rPr>
          <w:rFonts w:ascii="Arial" w:hAnsi="Arial" w:cs="Arial"/>
          <w:lang w:val="en-US"/>
        </w:rPr>
        <w:t>7% in 2020, from -4.8% in 2019.</w:t>
      </w:r>
      <w:r w:rsidRPr="00332951">
        <w:rPr>
          <w:rFonts w:ascii="Arial" w:hAnsi="Arial" w:cs="Arial"/>
          <w:lang w:val="en-US"/>
        </w:rPr>
        <w:t xml:space="preserve"> exacerbated by fresh borrowing to cover revenue shortfalls triggered by the economic crisis induced by COVID-19 pandemic. Governments instituted a number of fiscal measures geared towards containing the COVID-19 pandemic, </w:t>
      </w:r>
      <w:r w:rsidRPr="00332951">
        <w:rPr>
          <w:rFonts w:ascii="Arial" w:hAnsi="Arial" w:cs="Arial"/>
          <w:lang w:val="en-US"/>
        </w:rPr>
        <w:lastRenderedPageBreak/>
        <w:t>including provision of health services and extended unprecedented support to households, firms, and financial markets. In particular, most countries in the region responded to the pandemic with massive health spending, tax cut measures to cushion households and SMEs, extended support to vulnerable households through cash transfers and food rations, and targeted and temporary support to hard hit sectors of thei</w:t>
      </w:r>
      <w:r w:rsidR="009A2144">
        <w:rPr>
          <w:rFonts w:ascii="Arial" w:hAnsi="Arial" w:cs="Arial"/>
          <w:lang w:val="en-US"/>
        </w:rPr>
        <w:t>r economies.</w:t>
      </w:r>
    </w:p>
    <w:p w14:paraId="5A563FF5" w14:textId="77777777" w:rsidR="002C63B7" w:rsidRPr="00332951" w:rsidRDefault="002C63B7" w:rsidP="002C63B7">
      <w:pPr>
        <w:jc w:val="both"/>
        <w:rPr>
          <w:rFonts w:ascii="Arial" w:hAnsi="Arial" w:cs="Arial"/>
          <w:lang w:val="en-US"/>
        </w:rPr>
      </w:pPr>
      <w:r w:rsidRPr="00332951">
        <w:rPr>
          <w:rFonts w:ascii="Arial" w:hAnsi="Arial" w:cs="Arial"/>
          <w:lang w:val="en-US"/>
        </w:rPr>
        <w:t>The COVID-19-related fiscal packages, amidst severe tax revenue shortfalls fueled by lockdown measures across a number of countries, put considerable pressure on governments fiscal space. The combined effect of sharp decline in revenues, the rapid accumulation of debt particularly for countries that had large fiscal deficits and budget rigidities related to wages and interest payments, has resulted in heightened debt default vulnerability. As countries continue to battle health crisis brought about by COVID-19 pandemic, and the resultant economic crisis, the following fiscal considerations will be critical in the medium term:</w:t>
      </w:r>
    </w:p>
    <w:p w14:paraId="39E07365" w14:textId="77777777" w:rsidR="002C63B7" w:rsidRPr="00332951" w:rsidRDefault="002C63B7" w:rsidP="00332951">
      <w:pPr>
        <w:pStyle w:val="ListParagraph"/>
        <w:numPr>
          <w:ilvl w:val="0"/>
          <w:numId w:val="12"/>
        </w:numPr>
        <w:tabs>
          <w:tab w:val="left" w:pos="810"/>
        </w:tabs>
        <w:jc w:val="both"/>
        <w:rPr>
          <w:rFonts w:ascii="Arial" w:hAnsi="Arial" w:cs="Arial"/>
          <w:lang w:val="en-US"/>
        </w:rPr>
      </w:pPr>
      <w:r w:rsidRPr="00332951">
        <w:rPr>
          <w:rFonts w:ascii="Arial" w:hAnsi="Arial" w:cs="Arial"/>
          <w:lang w:val="en-US"/>
        </w:rPr>
        <w:t>Countries will need to quickly incorporate the impact of COVID-19 pandemic in their fiscal frameworks, re-assess the impact on revenues and do accurate costing of the responses on the expenditure side.</w:t>
      </w:r>
    </w:p>
    <w:p w14:paraId="72B7B7EA" w14:textId="77777777" w:rsidR="002C63B7" w:rsidRPr="00332951" w:rsidRDefault="002C63B7" w:rsidP="00332951">
      <w:pPr>
        <w:pStyle w:val="ListParagraph"/>
        <w:numPr>
          <w:ilvl w:val="0"/>
          <w:numId w:val="12"/>
        </w:numPr>
        <w:tabs>
          <w:tab w:val="left" w:pos="810"/>
        </w:tabs>
        <w:jc w:val="both"/>
        <w:rPr>
          <w:rFonts w:ascii="Arial" w:hAnsi="Arial" w:cs="Arial"/>
          <w:lang w:val="en-US"/>
        </w:rPr>
      </w:pPr>
      <w:r w:rsidRPr="00332951">
        <w:rPr>
          <w:rFonts w:ascii="Arial" w:hAnsi="Arial" w:cs="Arial"/>
          <w:lang w:val="en-US"/>
        </w:rPr>
        <w:t>Carry out expenditure reprioritization including rescheduling capital expenditures and consideration of sufficient levels of fiscal stimulus to restart country specific economies in country specific circumstances;</w:t>
      </w:r>
    </w:p>
    <w:p w14:paraId="0D177E21" w14:textId="77777777" w:rsidR="002C63B7" w:rsidRPr="00332951" w:rsidRDefault="002C63B7" w:rsidP="00332951">
      <w:pPr>
        <w:pStyle w:val="ListParagraph"/>
        <w:numPr>
          <w:ilvl w:val="0"/>
          <w:numId w:val="12"/>
        </w:numPr>
        <w:tabs>
          <w:tab w:val="left" w:pos="810"/>
        </w:tabs>
        <w:jc w:val="both"/>
        <w:rPr>
          <w:rFonts w:ascii="Arial" w:hAnsi="Arial" w:cs="Arial"/>
          <w:lang w:val="en-US"/>
        </w:rPr>
      </w:pPr>
      <w:r w:rsidRPr="00332951">
        <w:rPr>
          <w:rFonts w:ascii="Arial" w:hAnsi="Arial" w:cs="Arial"/>
          <w:lang w:val="en-US"/>
        </w:rPr>
        <w:t xml:space="preserve">Need to aggressively explore possibilities of external concessional financing and temporary/permanent debt relief; </w:t>
      </w:r>
    </w:p>
    <w:p w14:paraId="594E5DAD" w14:textId="77777777" w:rsidR="002C63B7" w:rsidRPr="00332951" w:rsidRDefault="002C63B7" w:rsidP="00332951">
      <w:pPr>
        <w:pStyle w:val="ListParagraph"/>
        <w:numPr>
          <w:ilvl w:val="0"/>
          <w:numId w:val="12"/>
        </w:numPr>
        <w:tabs>
          <w:tab w:val="left" w:pos="810"/>
        </w:tabs>
        <w:jc w:val="both"/>
        <w:rPr>
          <w:rFonts w:ascii="Arial" w:hAnsi="Arial" w:cs="Arial"/>
          <w:lang w:val="en-US"/>
        </w:rPr>
      </w:pPr>
      <w:r w:rsidRPr="00332951">
        <w:rPr>
          <w:rFonts w:ascii="Arial" w:hAnsi="Arial" w:cs="Arial"/>
          <w:lang w:val="en-US"/>
        </w:rPr>
        <w:t>There is also need to balance immediate spending demands in response to COVID-19 and cuts in public investments, to avoid excessive negative impact on the economy, employment and future growth—because, sometimes, scaling up public investment with multiplier effect could act as a stimulus and ensure longer term resilience of the economy;</w:t>
      </w:r>
    </w:p>
    <w:p w14:paraId="2E6C9DB3" w14:textId="77777777" w:rsidR="002C63B7" w:rsidRPr="00332951" w:rsidRDefault="002C63B7" w:rsidP="00332951">
      <w:pPr>
        <w:pStyle w:val="ListParagraph"/>
        <w:numPr>
          <w:ilvl w:val="0"/>
          <w:numId w:val="12"/>
        </w:numPr>
        <w:tabs>
          <w:tab w:val="left" w:pos="810"/>
        </w:tabs>
        <w:jc w:val="both"/>
        <w:rPr>
          <w:rFonts w:ascii="Arial" w:hAnsi="Arial" w:cs="Arial"/>
          <w:lang w:val="en-US"/>
        </w:rPr>
      </w:pPr>
      <w:r w:rsidRPr="00332951">
        <w:rPr>
          <w:rFonts w:ascii="Arial" w:hAnsi="Arial" w:cs="Arial"/>
          <w:lang w:val="en-US"/>
        </w:rPr>
        <w:t>Mitigate against corruption and fiscal risks through stringent controls, monitoring and transparency; and continue supporting households and SMEs to preserve livelihoods and employment.</w:t>
      </w:r>
    </w:p>
    <w:p w14:paraId="10B8B718" w14:textId="77777777" w:rsidR="002C63B7" w:rsidRDefault="002C63B7" w:rsidP="002C63B7">
      <w:pPr>
        <w:pStyle w:val="Caption"/>
        <w:spacing w:after="0"/>
        <w:rPr>
          <w:rFonts w:ascii="Arial" w:hAnsi="Arial" w:cs="Arial"/>
          <w:i w:val="0"/>
          <w:iCs w:val="0"/>
          <w:color w:val="auto"/>
          <w:sz w:val="22"/>
          <w:szCs w:val="22"/>
          <w:lang w:val="en-US"/>
        </w:rPr>
      </w:pPr>
    </w:p>
    <w:p w14:paraId="1954C76C" w14:textId="37CED687" w:rsidR="002C63B7" w:rsidRPr="00332951" w:rsidRDefault="002C63B7" w:rsidP="00332951">
      <w:pPr>
        <w:pStyle w:val="Caption"/>
        <w:spacing w:after="0"/>
        <w:jc w:val="center"/>
        <w:rPr>
          <w:rFonts w:ascii="Arial" w:hAnsi="Arial" w:cs="Arial"/>
          <w:b/>
          <w:i w:val="0"/>
          <w:iCs w:val="0"/>
          <w:color w:val="auto"/>
          <w:sz w:val="22"/>
          <w:szCs w:val="22"/>
          <w:lang w:val="en-US"/>
        </w:rPr>
      </w:pPr>
      <w:r w:rsidRPr="00332951">
        <w:rPr>
          <w:rFonts w:ascii="Arial" w:hAnsi="Arial" w:cs="Arial"/>
          <w:b/>
          <w:i w:val="0"/>
          <w:iCs w:val="0"/>
          <w:color w:val="auto"/>
          <w:sz w:val="22"/>
          <w:szCs w:val="22"/>
          <w:lang w:val="en-US"/>
        </w:rPr>
        <w:t xml:space="preserve">Figure </w:t>
      </w:r>
      <w:r w:rsidRPr="00332951">
        <w:rPr>
          <w:rFonts w:ascii="Arial" w:hAnsi="Arial" w:cs="Arial"/>
          <w:b/>
          <w:i w:val="0"/>
          <w:iCs w:val="0"/>
          <w:color w:val="auto"/>
          <w:sz w:val="22"/>
          <w:szCs w:val="22"/>
          <w:lang w:val="en-US"/>
        </w:rPr>
        <w:fldChar w:fldCharType="begin"/>
      </w:r>
      <w:r w:rsidRPr="00332951">
        <w:rPr>
          <w:rFonts w:ascii="Arial" w:hAnsi="Arial" w:cs="Arial"/>
          <w:b/>
          <w:i w:val="0"/>
          <w:iCs w:val="0"/>
          <w:color w:val="auto"/>
          <w:sz w:val="22"/>
          <w:szCs w:val="22"/>
          <w:lang w:val="en-US"/>
        </w:rPr>
        <w:instrText xml:space="preserve"> SEQ Figure \* ARABIC </w:instrText>
      </w:r>
      <w:r w:rsidRPr="00332951">
        <w:rPr>
          <w:rFonts w:ascii="Arial" w:hAnsi="Arial" w:cs="Arial"/>
          <w:b/>
          <w:i w:val="0"/>
          <w:iCs w:val="0"/>
          <w:color w:val="auto"/>
          <w:sz w:val="22"/>
          <w:szCs w:val="22"/>
          <w:lang w:val="en-US"/>
        </w:rPr>
        <w:fldChar w:fldCharType="separate"/>
      </w:r>
      <w:r w:rsidR="00E66874" w:rsidRPr="00332951">
        <w:rPr>
          <w:rFonts w:ascii="Arial" w:hAnsi="Arial" w:cs="Arial"/>
          <w:b/>
          <w:i w:val="0"/>
          <w:iCs w:val="0"/>
          <w:noProof/>
          <w:color w:val="auto"/>
          <w:sz w:val="22"/>
          <w:szCs w:val="22"/>
          <w:lang w:val="en-US"/>
        </w:rPr>
        <w:t>3</w:t>
      </w:r>
      <w:r w:rsidRPr="00332951">
        <w:rPr>
          <w:rFonts w:ascii="Arial" w:hAnsi="Arial" w:cs="Arial"/>
          <w:b/>
          <w:i w:val="0"/>
          <w:iCs w:val="0"/>
          <w:color w:val="auto"/>
          <w:sz w:val="22"/>
          <w:szCs w:val="22"/>
          <w:lang w:val="en-US"/>
        </w:rPr>
        <w:fldChar w:fldCharType="end"/>
      </w:r>
      <w:r w:rsidRPr="00332951">
        <w:rPr>
          <w:rFonts w:ascii="Arial" w:hAnsi="Arial" w:cs="Arial"/>
          <w:b/>
          <w:i w:val="0"/>
          <w:iCs w:val="0"/>
          <w:color w:val="auto"/>
          <w:sz w:val="22"/>
          <w:szCs w:val="22"/>
          <w:lang w:val="en-US"/>
        </w:rPr>
        <w:t>: COMESA average Overall Fiscal Balance (incl. Grants, % of GDP)</w:t>
      </w:r>
    </w:p>
    <w:p w14:paraId="64733A72" w14:textId="77777777" w:rsidR="002C63B7" w:rsidRDefault="002C63B7" w:rsidP="002C63B7">
      <w:pPr>
        <w:spacing w:after="0" w:line="240" w:lineRule="auto"/>
        <w:jc w:val="both"/>
        <w:rPr>
          <w:rFonts w:ascii="Arial" w:eastAsia="Times New Roman" w:hAnsi="Arial" w:cs="Arial"/>
          <w:b/>
          <w:bCs/>
          <w:color w:val="000000"/>
          <w:lang w:val="en-US" w:eastAsia="en-US" w:bidi="ar-SA"/>
        </w:rPr>
      </w:pPr>
      <w:r>
        <w:rPr>
          <w:noProof/>
          <w:lang w:val="en-US" w:eastAsia="en-US" w:bidi="ar-SA"/>
        </w:rPr>
        <w:drawing>
          <wp:inline distT="0" distB="0" distL="0" distR="0" wp14:anchorId="208F2030" wp14:editId="2DD292A0">
            <wp:extent cx="5646420" cy="2453640"/>
            <wp:effectExtent l="0" t="0" r="11430" b="381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3961ACE" w14:textId="77777777" w:rsidR="002C63B7" w:rsidRPr="004C6F8E" w:rsidRDefault="002C63B7" w:rsidP="002C63B7">
      <w:pPr>
        <w:pStyle w:val="BodyText2"/>
        <w:spacing w:after="160" w:line="276" w:lineRule="auto"/>
        <w:rPr>
          <w:rFonts w:eastAsia="Calibri" w:cs="Arial"/>
          <w:b w:val="0"/>
          <w:sz w:val="20"/>
          <w:szCs w:val="20"/>
          <w:lang w:val="en-GB" w:bidi="fr-FR"/>
        </w:rPr>
      </w:pPr>
      <w:r w:rsidRPr="004C6F8E">
        <w:rPr>
          <w:rFonts w:eastAsia="Calibri" w:cs="Arial"/>
          <w:b w:val="0"/>
          <w:sz w:val="20"/>
          <w:szCs w:val="20"/>
          <w:lang w:val="en-GB" w:bidi="fr-FR"/>
        </w:rPr>
        <w:t>Source: IMF REO Sub Saharan Africa April 2021</w:t>
      </w:r>
    </w:p>
    <w:p w14:paraId="52BD8098" w14:textId="325D156A" w:rsidR="00E66874" w:rsidRDefault="00E66874" w:rsidP="00E66874">
      <w:pPr>
        <w:spacing w:after="160"/>
        <w:jc w:val="both"/>
        <w:rPr>
          <w:rFonts w:ascii="Arial" w:eastAsia="Times New Roman" w:hAnsi="Arial" w:cs="Arial"/>
          <w:b/>
          <w:bCs/>
          <w:color w:val="000000"/>
          <w:lang w:val="en-US" w:eastAsia="en-US" w:bidi="ar-SA"/>
        </w:rPr>
      </w:pPr>
    </w:p>
    <w:p w14:paraId="251D671F" w14:textId="77777777" w:rsidR="00655FB4" w:rsidRDefault="00655FB4" w:rsidP="00655FB4">
      <w:pPr>
        <w:jc w:val="both"/>
        <w:rPr>
          <w:rFonts w:ascii="Arial" w:hAnsi="Arial" w:cs="Arial"/>
          <w:lang w:val="en-US"/>
        </w:rPr>
      </w:pPr>
      <w:r w:rsidRPr="0036000E">
        <w:rPr>
          <w:rFonts w:ascii="Arial" w:hAnsi="Arial" w:cs="Arial"/>
          <w:lang w:val="en-US"/>
        </w:rPr>
        <w:lastRenderedPageBreak/>
        <w:t xml:space="preserve">The overall fiscal balance for 2021 is </w:t>
      </w:r>
      <w:r>
        <w:rPr>
          <w:rFonts w:ascii="Arial" w:hAnsi="Arial" w:cs="Arial"/>
          <w:lang w:val="en-US"/>
        </w:rPr>
        <w:t xml:space="preserve">projected to </w:t>
      </w:r>
      <w:r w:rsidRPr="0036000E">
        <w:rPr>
          <w:rFonts w:ascii="Arial" w:hAnsi="Arial" w:cs="Arial"/>
          <w:lang w:val="en-US"/>
        </w:rPr>
        <w:t>narrow</w:t>
      </w:r>
      <w:r>
        <w:rPr>
          <w:rFonts w:ascii="Arial" w:hAnsi="Arial" w:cs="Arial"/>
          <w:lang w:val="en-US"/>
        </w:rPr>
        <w:t xml:space="preserve"> </w:t>
      </w:r>
      <w:r w:rsidRPr="0036000E">
        <w:rPr>
          <w:rFonts w:ascii="Arial" w:hAnsi="Arial" w:cs="Arial"/>
          <w:lang w:val="en-US"/>
        </w:rPr>
        <w:t>to -5.2% and further to -4.0% in 2022 (</w:t>
      </w:r>
      <w:r w:rsidRPr="0036000E">
        <w:rPr>
          <w:rFonts w:ascii="Arial" w:hAnsi="Arial" w:cs="Arial"/>
          <w:b/>
          <w:lang w:val="en-US"/>
        </w:rPr>
        <w:t>Fig. 3</w:t>
      </w:r>
      <w:r w:rsidRPr="0036000E">
        <w:rPr>
          <w:rFonts w:ascii="Arial" w:hAnsi="Arial" w:cs="Arial"/>
          <w:lang w:val="en-US"/>
        </w:rPr>
        <w:t xml:space="preserve">), </w:t>
      </w:r>
      <w:r>
        <w:rPr>
          <w:rFonts w:ascii="Arial" w:hAnsi="Arial" w:cs="Arial"/>
          <w:lang w:val="en-US"/>
        </w:rPr>
        <w:t>mainly due to the expected economic recovery</w:t>
      </w:r>
      <w:r w:rsidRPr="002C20DD">
        <w:rPr>
          <w:rFonts w:ascii="Arial" w:hAnsi="Arial" w:cs="Arial"/>
          <w:lang w:val="en-US"/>
        </w:rPr>
        <w:t>—</w:t>
      </w:r>
      <w:r>
        <w:rPr>
          <w:rFonts w:ascii="Arial" w:hAnsi="Arial" w:cs="Arial"/>
          <w:lang w:val="en-US"/>
        </w:rPr>
        <w:t xml:space="preserve">higher revenues, resumption of fiscal consolidation in some countries and expiration of pandemic related measures as </w:t>
      </w:r>
      <w:r w:rsidRPr="0036000E">
        <w:rPr>
          <w:rFonts w:ascii="Arial" w:hAnsi="Arial" w:cs="Arial"/>
          <w:lang w:val="en-US"/>
        </w:rPr>
        <w:t xml:space="preserve">countries </w:t>
      </w:r>
      <w:r>
        <w:rPr>
          <w:rFonts w:ascii="Arial" w:hAnsi="Arial" w:cs="Arial"/>
          <w:lang w:val="en-US"/>
        </w:rPr>
        <w:t xml:space="preserve">enhance the </w:t>
      </w:r>
      <w:r w:rsidRPr="0036000E">
        <w:rPr>
          <w:rFonts w:ascii="Arial" w:hAnsi="Arial" w:cs="Arial"/>
          <w:lang w:val="en-US"/>
        </w:rPr>
        <w:t xml:space="preserve">roll out </w:t>
      </w:r>
      <w:r>
        <w:rPr>
          <w:rFonts w:ascii="Arial" w:hAnsi="Arial" w:cs="Arial"/>
          <w:lang w:val="en-US"/>
        </w:rPr>
        <w:t xml:space="preserve">and uptake of </w:t>
      </w:r>
      <w:r w:rsidRPr="0036000E">
        <w:rPr>
          <w:rFonts w:ascii="Arial" w:hAnsi="Arial" w:cs="Arial"/>
          <w:lang w:val="en-US"/>
        </w:rPr>
        <w:t xml:space="preserve">the COVID-19 vaccine. </w:t>
      </w:r>
    </w:p>
    <w:p w14:paraId="380B5089" w14:textId="77777777" w:rsidR="00655FB4" w:rsidRDefault="00655FB4" w:rsidP="00E66874">
      <w:pPr>
        <w:spacing w:after="160"/>
        <w:jc w:val="both"/>
        <w:rPr>
          <w:rFonts w:ascii="Arial" w:eastAsia="Times New Roman" w:hAnsi="Arial" w:cs="Arial"/>
          <w:b/>
          <w:bCs/>
          <w:color w:val="000000"/>
          <w:lang w:val="en-US" w:eastAsia="en-US" w:bidi="ar-SA"/>
        </w:rPr>
      </w:pPr>
    </w:p>
    <w:p w14:paraId="4AFB22C8" w14:textId="77777777" w:rsidR="00E66874" w:rsidRPr="009C3356" w:rsidRDefault="00E66874" w:rsidP="00E66874">
      <w:pPr>
        <w:pStyle w:val="Heading1"/>
        <w:numPr>
          <w:ilvl w:val="0"/>
          <w:numId w:val="10"/>
        </w:numPr>
        <w:spacing w:before="0" w:after="120" w:line="276" w:lineRule="auto"/>
        <w:rPr>
          <w:rFonts w:ascii="Arial" w:hAnsi="Arial" w:cs="Arial"/>
          <w:sz w:val="22"/>
          <w:szCs w:val="22"/>
        </w:rPr>
      </w:pPr>
      <w:bookmarkStart w:id="16" w:name="_Toc70943219"/>
      <w:r w:rsidRPr="009C3356">
        <w:rPr>
          <w:rFonts w:ascii="Arial" w:hAnsi="Arial" w:cs="Arial"/>
          <w:sz w:val="22"/>
          <w:szCs w:val="22"/>
        </w:rPr>
        <w:t>Government Debt</w:t>
      </w:r>
      <w:bookmarkEnd w:id="16"/>
    </w:p>
    <w:p w14:paraId="1F722B26" w14:textId="7409D172" w:rsidR="00E66874" w:rsidRDefault="00E66874" w:rsidP="00E66874">
      <w:pPr>
        <w:jc w:val="both"/>
        <w:rPr>
          <w:rFonts w:ascii="Arial" w:hAnsi="Arial" w:cs="Arial"/>
          <w:lang w:val="en-US"/>
        </w:rPr>
      </w:pPr>
      <w:r w:rsidRPr="009C3356">
        <w:rPr>
          <w:rFonts w:ascii="Arial" w:hAnsi="Arial" w:cs="Arial"/>
          <w:lang w:val="en-US"/>
        </w:rPr>
        <w:t xml:space="preserve">The region’s average Government debt as a share of GDP </w:t>
      </w:r>
      <w:r>
        <w:rPr>
          <w:rFonts w:ascii="Arial" w:hAnsi="Arial" w:cs="Arial"/>
          <w:lang w:val="en-US"/>
        </w:rPr>
        <w:t xml:space="preserve">surged to </w:t>
      </w:r>
      <w:r w:rsidRPr="009C3356">
        <w:rPr>
          <w:rFonts w:ascii="Arial" w:hAnsi="Arial" w:cs="Arial"/>
          <w:lang w:val="en-US"/>
        </w:rPr>
        <w:t xml:space="preserve">59.3% in 2020, </w:t>
      </w:r>
      <w:r>
        <w:rPr>
          <w:rFonts w:ascii="Arial" w:hAnsi="Arial" w:cs="Arial"/>
          <w:lang w:val="en-US"/>
        </w:rPr>
        <w:t xml:space="preserve">as compared </w:t>
      </w:r>
      <w:r w:rsidRPr="009C3356">
        <w:rPr>
          <w:rFonts w:ascii="Arial" w:hAnsi="Arial" w:cs="Arial"/>
          <w:lang w:val="en-US"/>
        </w:rPr>
        <w:t xml:space="preserve">to 56.6% in 2019, mainly </w:t>
      </w:r>
      <w:r>
        <w:rPr>
          <w:rFonts w:ascii="Arial" w:hAnsi="Arial" w:cs="Arial"/>
          <w:lang w:val="en-US"/>
        </w:rPr>
        <w:t xml:space="preserve">due </w:t>
      </w:r>
      <w:r w:rsidRPr="009C3356">
        <w:rPr>
          <w:rFonts w:ascii="Arial" w:hAnsi="Arial" w:cs="Arial"/>
          <w:lang w:val="en-US"/>
        </w:rPr>
        <w:t>to COVID-19 pandemic (</w:t>
      </w:r>
      <w:r w:rsidRPr="009C3356">
        <w:rPr>
          <w:rFonts w:ascii="Arial" w:hAnsi="Arial" w:cs="Arial"/>
          <w:b/>
          <w:lang w:val="en-US"/>
        </w:rPr>
        <w:t>Fig. 4</w:t>
      </w:r>
      <w:r w:rsidRPr="009C3356">
        <w:rPr>
          <w:rFonts w:ascii="Arial" w:hAnsi="Arial" w:cs="Arial"/>
          <w:lang w:val="en-US"/>
        </w:rPr>
        <w:t xml:space="preserve">). The COVID-19-related recurrent expenditure needs, coupled with </w:t>
      </w:r>
      <w:r w:rsidRPr="001E235F">
        <w:rPr>
          <w:rFonts w:ascii="Arial" w:hAnsi="Arial" w:cs="Arial"/>
          <w:lang w:val="en-US"/>
        </w:rPr>
        <w:t>sharp decline in revenues</w:t>
      </w:r>
      <w:r w:rsidRPr="009C3356">
        <w:rPr>
          <w:rFonts w:ascii="Arial" w:hAnsi="Arial" w:cs="Arial"/>
          <w:lang w:val="en-US"/>
        </w:rPr>
        <w:t xml:space="preserve"> occasioned by lockdowns and general economic slowdown </w:t>
      </w:r>
      <w:r>
        <w:rPr>
          <w:rFonts w:ascii="Arial" w:hAnsi="Arial" w:cs="Arial"/>
          <w:lang w:val="en-US"/>
        </w:rPr>
        <w:t xml:space="preserve">during the year under review </w:t>
      </w:r>
      <w:r w:rsidRPr="009C3356">
        <w:rPr>
          <w:rFonts w:ascii="Arial" w:hAnsi="Arial" w:cs="Arial"/>
          <w:lang w:val="en-US"/>
        </w:rPr>
        <w:t>exert</w:t>
      </w:r>
      <w:r>
        <w:rPr>
          <w:rFonts w:ascii="Arial" w:hAnsi="Arial" w:cs="Arial"/>
          <w:lang w:val="en-US"/>
        </w:rPr>
        <w:t xml:space="preserve">ed </w:t>
      </w:r>
      <w:r w:rsidRPr="009C3356">
        <w:rPr>
          <w:rFonts w:ascii="Arial" w:hAnsi="Arial" w:cs="Arial"/>
          <w:lang w:val="en-US"/>
        </w:rPr>
        <w:t>considerable pressures on government finances and forc</w:t>
      </w:r>
      <w:r>
        <w:rPr>
          <w:rFonts w:ascii="Arial" w:hAnsi="Arial" w:cs="Arial"/>
          <w:lang w:val="en-US"/>
        </w:rPr>
        <w:t xml:space="preserve">ed </w:t>
      </w:r>
      <w:r w:rsidRPr="009C3356">
        <w:rPr>
          <w:rFonts w:ascii="Arial" w:hAnsi="Arial" w:cs="Arial"/>
          <w:lang w:val="en-US"/>
        </w:rPr>
        <w:t>almost all the economies in the region to run widening fiscal deficits</w:t>
      </w:r>
      <w:r>
        <w:rPr>
          <w:rFonts w:ascii="Arial" w:hAnsi="Arial" w:cs="Arial"/>
          <w:lang w:val="en-US"/>
        </w:rPr>
        <w:t>.</w:t>
      </w:r>
      <w:r w:rsidRPr="009C3356">
        <w:rPr>
          <w:rFonts w:ascii="Arial" w:hAnsi="Arial" w:cs="Arial"/>
          <w:lang w:val="en-US"/>
        </w:rPr>
        <w:t xml:space="preserve"> </w:t>
      </w:r>
    </w:p>
    <w:p w14:paraId="37B503AB" w14:textId="77777777" w:rsidR="00655FB4" w:rsidRDefault="00655FB4" w:rsidP="00E66874">
      <w:pPr>
        <w:jc w:val="both"/>
        <w:rPr>
          <w:rFonts w:ascii="Arial" w:hAnsi="Arial" w:cs="Arial"/>
          <w:lang w:val="en-US"/>
        </w:rPr>
      </w:pPr>
    </w:p>
    <w:p w14:paraId="18CDDFF1" w14:textId="052F2F62" w:rsidR="00E66874" w:rsidRPr="009B3367" w:rsidRDefault="00E66874" w:rsidP="009B3367">
      <w:pPr>
        <w:pStyle w:val="Caption"/>
        <w:spacing w:after="0"/>
        <w:jc w:val="center"/>
        <w:rPr>
          <w:rFonts w:ascii="Arial" w:hAnsi="Arial" w:cs="Arial"/>
          <w:b/>
          <w:i w:val="0"/>
          <w:iCs w:val="0"/>
          <w:color w:val="auto"/>
          <w:sz w:val="22"/>
          <w:szCs w:val="22"/>
          <w:lang w:val="en-US"/>
        </w:rPr>
      </w:pPr>
      <w:r w:rsidRPr="009B3367">
        <w:rPr>
          <w:rFonts w:ascii="Arial" w:hAnsi="Arial" w:cs="Arial"/>
          <w:b/>
          <w:i w:val="0"/>
          <w:iCs w:val="0"/>
          <w:color w:val="auto"/>
          <w:sz w:val="22"/>
          <w:szCs w:val="22"/>
          <w:lang w:val="en-US"/>
        </w:rPr>
        <w:t xml:space="preserve">Figure </w:t>
      </w:r>
      <w:r w:rsidRPr="009B3367">
        <w:rPr>
          <w:rFonts w:ascii="Arial" w:hAnsi="Arial" w:cs="Arial"/>
          <w:b/>
          <w:i w:val="0"/>
          <w:iCs w:val="0"/>
          <w:color w:val="auto"/>
          <w:sz w:val="22"/>
          <w:szCs w:val="22"/>
          <w:lang w:val="en-US"/>
        </w:rPr>
        <w:fldChar w:fldCharType="begin"/>
      </w:r>
      <w:r w:rsidRPr="009B3367">
        <w:rPr>
          <w:rFonts w:ascii="Arial" w:hAnsi="Arial" w:cs="Arial"/>
          <w:b/>
          <w:i w:val="0"/>
          <w:iCs w:val="0"/>
          <w:color w:val="auto"/>
          <w:sz w:val="22"/>
          <w:szCs w:val="22"/>
          <w:lang w:val="en-US"/>
        </w:rPr>
        <w:instrText xml:space="preserve"> SEQ Figure \* ARABIC </w:instrText>
      </w:r>
      <w:r w:rsidRPr="009B3367">
        <w:rPr>
          <w:rFonts w:ascii="Arial" w:hAnsi="Arial" w:cs="Arial"/>
          <w:b/>
          <w:i w:val="0"/>
          <w:iCs w:val="0"/>
          <w:color w:val="auto"/>
          <w:sz w:val="22"/>
          <w:szCs w:val="22"/>
          <w:lang w:val="en-US"/>
        </w:rPr>
        <w:fldChar w:fldCharType="separate"/>
      </w:r>
      <w:r w:rsidRPr="009B3367">
        <w:rPr>
          <w:rFonts w:ascii="Arial" w:hAnsi="Arial" w:cs="Arial"/>
          <w:b/>
          <w:i w:val="0"/>
          <w:iCs w:val="0"/>
          <w:color w:val="auto"/>
          <w:sz w:val="22"/>
          <w:szCs w:val="22"/>
          <w:lang w:val="en-US"/>
        </w:rPr>
        <w:t>4</w:t>
      </w:r>
      <w:r w:rsidRPr="009B3367">
        <w:rPr>
          <w:rFonts w:ascii="Arial" w:hAnsi="Arial" w:cs="Arial"/>
          <w:b/>
          <w:i w:val="0"/>
          <w:iCs w:val="0"/>
          <w:color w:val="auto"/>
          <w:sz w:val="22"/>
          <w:szCs w:val="22"/>
          <w:lang w:val="en-US"/>
        </w:rPr>
        <w:fldChar w:fldCharType="end"/>
      </w:r>
      <w:r w:rsidRPr="009B3367">
        <w:rPr>
          <w:rFonts w:ascii="Arial" w:hAnsi="Arial" w:cs="Arial"/>
          <w:b/>
          <w:i w:val="0"/>
          <w:iCs w:val="0"/>
          <w:color w:val="auto"/>
          <w:sz w:val="22"/>
          <w:szCs w:val="22"/>
          <w:lang w:val="en-US"/>
        </w:rPr>
        <w:t>: COMESA average Government Debt (% of GDP).</w:t>
      </w:r>
    </w:p>
    <w:p w14:paraId="3E20CD8F" w14:textId="77777777" w:rsidR="00E66874" w:rsidRPr="00E23FBA" w:rsidRDefault="00E66874" w:rsidP="00E66874">
      <w:pPr>
        <w:spacing w:after="0" w:line="240" w:lineRule="auto"/>
        <w:rPr>
          <w:lang w:val="en-US" w:eastAsia="en-US" w:bidi="ar-SA"/>
        </w:rPr>
      </w:pPr>
      <w:r>
        <w:rPr>
          <w:noProof/>
          <w:lang w:val="en-US" w:eastAsia="en-US" w:bidi="ar-SA"/>
        </w:rPr>
        <w:drawing>
          <wp:inline distT="0" distB="0" distL="0" distR="0" wp14:anchorId="5CBAAC66" wp14:editId="0074BCA5">
            <wp:extent cx="5722620" cy="2346960"/>
            <wp:effectExtent l="0" t="0" r="11430" b="1524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B7AAE82" w14:textId="77777777" w:rsidR="00E66874" w:rsidRPr="004C6F8E" w:rsidRDefault="00E66874" w:rsidP="00E66874">
      <w:pPr>
        <w:pStyle w:val="BodyText2"/>
        <w:rPr>
          <w:rFonts w:eastAsia="Calibri" w:cs="Arial"/>
          <w:b w:val="0"/>
          <w:sz w:val="20"/>
          <w:szCs w:val="20"/>
          <w:lang w:val="en-GB" w:bidi="fr-FR"/>
        </w:rPr>
      </w:pPr>
      <w:r w:rsidRPr="004C6F8E">
        <w:rPr>
          <w:rFonts w:eastAsia="Calibri" w:cs="Arial"/>
          <w:b w:val="0"/>
          <w:sz w:val="20"/>
          <w:szCs w:val="20"/>
          <w:lang w:val="en-GB" w:bidi="fr-FR"/>
        </w:rPr>
        <w:t>Source: IMF REO Sub Saharan Africa April 2021</w:t>
      </w:r>
    </w:p>
    <w:p w14:paraId="4FDF4ABA" w14:textId="77777777" w:rsidR="008E14D5" w:rsidRDefault="008E14D5" w:rsidP="00E66874">
      <w:pPr>
        <w:jc w:val="both"/>
        <w:rPr>
          <w:rFonts w:ascii="Arial" w:hAnsi="Arial" w:cs="Arial"/>
          <w:lang w:val="en-US"/>
        </w:rPr>
      </w:pPr>
    </w:p>
    <w:p w14:paraId="4294A8B8" w14:textId="79B92C24" w:rsidR="00E66874" w:rsidRDefault="00E66874" w:rsidP="00E66874">
      <w:pPr>
        <w:jc w:val="both"/>
        <w:rPr>
          <w:rFonts w:ascii="Arial" w:hAnsi="Arial" w:cs="Arial"/>
          <w:lang w:val="en-US"/>
        </w:rPr>
      </w:pPr>
      <w:r>
        <w:rPr>
          <w:rFonts w:ascii="Arial" w:hAnsi="Arial" w:cs="Arial"/>
          <w:lang w:val="en-US"/>
        </w:rPr>
        <w:t>Going forward, average region go</w:t>
      </w:r>
      <w:r w:rsidRPr="009C3356">
        <w:rPr>
          <w:rFonts w:ascii="Arial" w:hAnsi="Arial" w:cs="Arial"/>
          <w:lang w:val="en-US"/>
        </w:rPr>
        <w:t xml:space="preserve">vernment debt </w:t>
      </w:r>
      <w:r>
        <w:rPr>
          <w:rFonts w:ascii="Arial" w:hAnsi="Arial" w:cs="Arial"/>
          <w:lang w:val="en-US"/>
        </w:rPr>
        <w:t xml:space="preserve">to </w:t>
      </w:r>
      <w:r w:rsidRPr="009C3356">
        <w:rPr>
          <w:rFonts w:ascii="Arial" w:hAnsi="Arial" w:cs="Arial"/>
          <w:lang w:val="en-US"/>
        </w:rPr>
        <w:t>GDP</w:t>
      </w:r>
      <w:r>
        <w:rPr>
          <w:rFonts w:ascii="Arial" w:hAnsi="Arial" w:cs="Arial"/>
          <w:lang w:val="en-US"/>
        </w:rPr>
        <w:t xml:space="preserve"> ratio</w:t>
      </w:r>
      <w:r w:rsidRPr="009C3356">
        <w:rPr>
          <w:rFonts w:ascii="Arial" w:hAnsi="Arial" w:cs="Arial"/>
          <w:lang w:val="en-US"/>
        </w:rPr>
        <w:t xml:space="preserve"> is projected to </w:t>
      </w:r>
      <w:r>
        <w:rPr>
          <w:rFonts w:ascii="Arial" w:hAnsi="Arial" w:cs="Arial"/>
          <w:lang w:val="en-US"/>
        </w:rPr>
        <w:t xml:space="preserve">ease </w:t>
      </w:r>
      <w:r w:rsidRPr="009C3356">
        <w:rPr>
          <w:rFonts w:ascii="Arial" w:hAnsi="Arial" w:cs="Arial"/>
          <w:lang w:val="en-US"/>
        </w:rPr>
        <w:t>somewhat to 58.3 in 2021</w:t>
      </w:r>
      <w:r>
        <w:rPr>
          <w:rFonts w:ascii="Arial" w:hAnsi="Arial" w:cs="Arial"/>
          <w:lang w:val="en-US"/>
        </w:rPr>
        <w:t xml:space="preserve">. However, should new infections and variants lead to renewed lockdowns as is already the case in some countries in the region, and if this is compounded by delays in vaccinations, regional government debt and financing risks could rise further, complicating choices for the existing policy space and eventually, </w:t>
      </w:r>
      <w:r w:rsidRPr="009C3356">
        <w:rPr>
          <w:rFonts w:ascii="Arial" w:hAnsi="Arial" w:cs="Arial"/>
          <w:lang w:val="en-US"/>
        </w:rPr>
        <w:t xml:space="preserve">vulnerability of these countries to debt default. </w:t>
      </w:r>
      <w:r>
        <w:rPr>
          <w:rFonts w:ascii="Arial" w:hAnsi="Arial" w:cs="Arial"/>
          <w:lang w:val="en-US"/>
        </w:rPr>
        <w:t>Already, t</w:t>
      </w:r>
      <w:r w:rsidRPr="009C3356">
        <w:rPr>
          <w:rFonts w:ascii="Arial" w:hAnsi="Arial" w:cs="Arial"/>
          <w:lang w:val="en-US"/>
        </w:rPr>
        <w:t>he debt to GDP ratio for individual countries portrays a more severe and dire situation with some countries debt to GDP ratio projected to rise past 80%</w:t>
      </w:r>
      <w:r>
        <w:rPr>
          <w:rFonts w:ascii="Arial" w:hAnsi="Arial" w:cs="Arial"/>
          <w:lang w:val="en-US"/>
        </w:rPr>
        <w:t>. Thus, u</w:t>
      </w:r>
      <w:r w:rsidRPr="008C697D">
        <w:rPr>
          <w:rFonts w:ascii="Arial" w:hAnsi="Arial" w:cs="Arial"/>
          <w:lang w:val="en-US"/>
        </w:rPr>
        <w:t xml:space="preserve">nless measures are implemented to curtail growth in debt, these countries could face an </w:t>
      </w:r>
      <w:r>
        <w:rPr>
          <w:rFonts w:ascii="Arial" w:hAnsi="Arial" w:cs="Arial"/>
          <w:lang w:val="en-US"/>
        </w:rPr>
        <w:t>explosion</w:t>
      </w:r>
      <w:r w:rsidRPr="008C697D">
        <w:rPr>
          <w:rFonts w:ascii="Arial" w:hAnsi="Arial" w:cs="Arial"/>
          <w:lang w:val="en-US"/>
        </w:rPr>
        <w:t xml:space="preserve"> in the stock of external debt and servicing costs. If left unchecked, the rate of debt accumulation could result in a major source of macroeconomic instability.</w:t>
      </w:r>
      <w:r>
        <w:rPr>
          <w:rFonts w:ascii="Arial" w:hAnsi="Arial" w:cs="Arial"/>
          <w:lang w:val="en-US"/>
        </w:rPr>
        <w:t xml:space="preserve"> </w:t>
      </w:r>
      <w:r w:rsidRPr="0076250B">
        <w:rPr>
          <w:rFonts w:ascii="Arial" w:hAnsi="Arial" w:cs="Arial"/>
          <w:lang w:val="en-US"/>
        </w:rPr>
        <w:t xml:space="preserve">Debt relief will be necessary to fight COVID-19 pandemic while preserving macroeconomic stability. </w:t>
      </w:r>
    </w:p>
    <w:p w14:paraId="5C197548" w14:textId="77777777" w:rsidR="00E66874" w:rsidRPr="008C697D" w:rsidRDefault="00E66874" w:rsidP="00E66874">
      <w:pPr>
        <w:jc w:val="both"/>
        <w:rPr>
          <w:rFonts w:ascii="Arial" w:hAnsi="Arial" w:cs="Arial"/>
          <w:lang w:val="en-US"/>
        </w:rPr>
      </w:pPr>
      <w:r w:rsidRPr="0076250B">
        <w:rPr>
          <w:rFonts w:ascii="Arial" w:hAnsi="Arial" w:cs="Arial"/>
          <w:lang w:val="en-US"/>
        </w:rPr>
        <w:t>Most economies in the region have little room for maneuver in deploying fiscal policy to address COVID-19 especially given the impact of lockdowns to traditional revenue sources, at time when the pressure to spend and protect lives is not an option. Creditors may need to consider grants to support vulnerable groups; health systems and local livelihoods and businesses</w:t>
      </w:r>
      <w:r>
        <w:rPr>
          <w:rFonts w:ascii="Arial" w:hAnsi="Arial" w:cs="Arial"/>
          <w:lang w:val="en-US"/>
        </w:rPr>
        <w:t xml:space="preserve">. </w:t>
      </w:r>
    </w:p>
    <w:p w14:paraId="57B52E36" w14:textId="75EF2DFC" w:rsidR="00E66874" w:rsidRDefault="00E66874" w:rsidP="00E66874">
      <w:pPr>
        <w:jc w:val="both"/>
        <w:rPr>
          <w:rFonts w:ascii="Arial" w:hAnsi="Arial" w:cs="Arial"/>
          <w:lang w:val="en-US"/>
        </w:rPr>
      </w:pPr>
      <w:r w:rsidRPr="008C697D">
        <w:rPr>
          <w:rFonts w:ascii="Arial" w:hAnsi="Arial" w:cs="Arial"/>
          <w:lang w:val="en-US"/>
        </w:rPr>
        <w:lastRenderedPageBreak/>
        <w:t xml:space="preserve">The need for creditors to implement “debt standstill” called for by the World Bank Group, the IMF and African Governments, will be important in the immediate short term but a more holistic approach for debt relief post COVID-19 will be required, to enable most of the economies in the region to fully recover from the effects of this pandemic. Concerns that accessing bilateral relief package will trigger credit downgrades and undermine future access to capital markets, and concerns of commercial debt obligations will need to be addressed. </w:t>
      </w:r>
    </w:p>
    <w:p w14:paraId="73C41AA6" w14:textId="77777777" w:rsidR="008E14D5" w:rsidRDefault="008E14D5" w:rsidP="00E66874">
      <w:pPr>
        <w:jc w:val="both"/>
        <w:rPr>
          <w:rFonts w:ascii="Arial" w:hAnsi="Arial" w:cs="Arial"/>
          <w:lang w:val="en-US"/>
        </w:rPr>
      </w:pPr>
    </w:p>
    <w:p w14:paraId="55395D9D" w14:textId="6F74D2CF" w:rsidR="00B14CAE" w:rsidRDefault="00B14CAE" w:rsidP="00E66874">
      <w:pPr>
        <w:pStyle w:val="Heading1"/>
        <w:numPr>
          <w:ilvl w:val="0"/>
          <w:numId w:val="10"/>
        </w:numPr>
        <w:spacing w:before="0" w:after="120" w:line="276" w:lineRule="auto"/>
        <w:rPr>
          <w:rFonts w:ascii="Arial" w:hAnsi="Arial" w:cs="Arial"/>
          <w:sz w:val="22"/>
          <w:szCs w:val="22"/>
        </w:rPr>
      </w:pPr>
      <w:bookmarkStart w:id="17" w:name="_Toc70943220"/>
      <w:r w:rsidRPr="00DF41CE">
        <w:rPr>
          <w:rFonts w:ascii="Arial" w:hAnsi="Arial" w:cs="Arial"/>
          <w:sz w:val="22"/>
          <w:szCs w:val="22"/>
        </w:rPr>
        <w:t>External Current Account Including Grant</w:t>
      </w:r>
      <w:bookmarkEnd w:id="12"/>
      <w:bookmarkEnd w:id="17"/>
    </w:p>
    <w:p w14:paraId="078286F5" w14:textId="4765DE75" w:rsidR="003634A2" w:rsidRDefault="0091473B" w:rsidP="00AB55E9">
      <w:pPr>
        <w:jc w:val="both"/>
        <w:rPr>
          <w:rFonts w:ascii="Arial" w:hAnsi="Arial" w:cs="Arial"/>
          <w:bCs/>
          <w:lang w:val="en-US"/>
        </w:rPr>
      </w:pPr>
      <w:r w:rsidRPr="00AB55E9">
        <w:rPr>
          <w:rFonts w:ascii="Arial" w:hAnsi="Arial" w:cs="Arial"/>
          <w:bCs/>
          <w:lang w:val="en-US"/>
        </w:rPr>
        <w:t>The COMESA region e</w:t>
      </w:r>
      <w:r w:rsidR="00B14CAE" w:rsidRPr="00AB55E9">
        <w:rPr>
          <w:rFonts w:ascii="Arial" w:hAnsi="Arial" w:cs="Arial"/>
          <w:bCs/>
          <w:lang w:val="en-US"/>
        </w:rPr>
        <w:t xml:space="preserve">xternal </w:t>
      </w:r>
      <w:r w:rsidRPr="00AB55E9">
        <w:rPr>
          <w:rFonts w:ascii="Arial" w:hAnsi="Arial" w:cs="Arial"/>
          <w:bCs/>
          <w:lang w:val="en-US"/>
        </w:rPr>
        <w:t>c</w:t>
      </w:r>
      <w:r w:rsidR="00B14CAE" w:rsidRPr="00AB55E9">
        <w:rPr>
          <w:rFonts w:ascii="Arial" w:hAnsi="Arial" w:cs="Arial"/>
          <w:bCs/>
          <w:lang w:val="en-US"/>
        </w:rPr>
        <w:t>urrent account including grants</w:t>
      </w:r>
      <w:r w:rsidR="00AB55E9" w:rsidRPr="00AB55E9">
        <w:rPr>
          <w:rFonts w:ascii="Arial" w:hAnsi="Arial" w:cs="Arial"/>
          <w:bCs/>
          <w:lang w:val="en-US"/>
        </w:rPr>
        <w:t xml:space="preserve">, as a percentage of GDP, </w:t>
      </w:r>
      <w:r w:rsidRPr="00AB55E9">
        <w:rPr>
          <w:rFonts w:ascii="Arial" w:hAnsi="Arial" w:cs="Arial"/>
          <w:bCs/>
          <w:lang w:val="en-US"/>
        </w:rPr>
        <w:t xml:space="preserve">deteriorated </w:t>
      </w:r>
      <w:r w:rsidR="002D3CE1">
        <w:rPr>
          <w:rFonts w:ascii="Arial" w:hAnsi="Arial" w:cs="Arial"/>
          <w:bCs/>
          <w:lang w:val="en-US"/>
        </w:rPr>
        <w:t xml:space="preserve">by 0.2 percentage points </w:t>
      </w:r>
      <w:r w:rsidRPr="00AB55E9">
        <w:rPr>
          <w:rFonts w:ascii="Arial" w:hAnsi="Arial" w:cs="Arial"/>
          <w:bCs/>
          <w:lang w:val="en-US"/>
        </w:rPr>
        <w:t>to an average of</w:t>
      </w:r>
      <w:r w:rsidR="00B14CAE" w:rsidRPr="00AB55E9">
        <w:rPr>
          <w:rFonts w:ascii="Arial" w:hAnsi="Arial" w:cs="Arial"/>
          <w:bCs/>
          <w:lang w:val="en-US"/>
        </w:rPr>
        <w:t xml:space="preserve"> -</w:t>
      </w:r>
      <w:r w:rsidR="00DF41CE" w:rsidRPr="00AB55E9">
        <w:rPr>
          <w:rFonts w:ascii="Arial" w:hAnsi="Arial" w:cs="Arial"/>
          <w:bCs/>
          <w:lang w:val="en-US"/>
        </w:rPr>
        <w:t>4</w:t>
      </w:r>
      <w:r w:rsidR="00E74DE7" w:rsidRPr="00AB55E9">
        <w:rPr>
          <w:rFonts w:ascii="Arial" w:hAnsi="Arial" w:cs="Arial"/>
          <w:bCs/>
          <w:lang w:val="en-US"/>
        </w:rPr>
        <w:t>.</w:t>
      </w:r>
      <w:r w:rsidRPr="00AB55E9">
        <w:rPr>
          <w:rFonts w:ascii="Arial" w:hAnsi="Arial" w:cs="Arial"/>
          <w:bCs/>
          <w:lang w:val="en-US"/>
        </w:rPr>
        <w:t>9%</w:t>
      </w:r>
      <w:r w:rsidR="00B14CAE" w:rsidRPr="00AB55E9">
        <w:rPr>
          <w:rFonts w:ascii="Arial" w:hAnsi="Arial" w:cs="Arial"/>
          <w:bCs/>
          <w:lang w:val="en-US"/>
        </w:rPr>
        <w:t xml:space="preserve"> in 20</w:t>
      </w:r>
      <w:r w:rsidRPr="00AB55E9">
        <w:rPr>
          <w:rFonts w:ascii="Arial" w:hAnsi="Arial" w:cs="Arial"/>
          <w:bCs/>
          <w:lang w:val="en-US"/>
        </w:rPr>
        <w:t xml:space="preserve">20, </w:t>
      </w:r>
      <w:r w:rsidR="002D3CE1">
        <w:rPr>
          <w:rFonts w:ascii="Arial" w:hAnsi="Arial" w:cs="Arial"/>
          <w:bCs/>
          <w:lang w:val="en-US"/>
        </w:rPr>
        <w:t xml:space="preserve">relative to </w:t>
      </w:r>
      <w:r w:rsidR="00B14CAE" w:rsidRPr="00AB55E9">
        <w:rPr>
          <w:rFonts w:ascii="Arial" w:hAnsi="Arial" w:cs="Arial"/>
          <w:bCs/>
          <w:lang w:val="en-US"/>
        </w:rPr>
        <w:t>201</w:t>
      </w:r>
      <w:r w:rsidRPr="00AB55E9">
        <w:rPr>
          <w:rFonts w:ascii="Arial" w:hAnsi="Arial" w:cs="Arial"/>
          <w:bCs/>
          <w:lang w:val="en-US"/>
        </w:rPr>
        <w:t>9</w:t>
      </w:r>
      <w:r w:rsidR="00DF41CE" w:rsidRPr="00AB55E9">
        <w:rPr>
          <w:rFonts w:ascii="Arial" w:hAnsi="Arial" w:cs="Arial"/>
          <w:bCs/>
          <w:lang w:val="en-US"/>
        </w:rPr>
        <w:t>.</w:t>
      </w:r>
      <w:r w:rsidR="00B14CAE" w:rsidRPr="00AB55E9">
        <w:rPr>
          <w:rFonts w:ascii="Arial" w:hAnsi="Arial" w:cs="Arial"/>
          <w:bCs/>
          <w:lang w:val="en-US"/>
        </w:rPr>
        <w:t xml:space="preserve"> The</w:t>
      </w:r>
      <w:r w:rsidR="00AB55E9" w:rsidRPr="00AB55E9">
        <w:rPr>
          <w:rFonts w:ascii="Arial" w:hAnsi="Arial" w:cs="Arial"/>
          <w:bCs/>
          <w:lang w:val="en-US"/>
        </w:rPr>
        <w:t xml:space="preserve"> deterioration in </w:t>
      </w:r>
      <w:r w:rsidR="00DF41CE" w:rsidRPr="00AB55E9">
        <w:rPr>
          <w:rFonts w:ascii="Arial" w:hAnsi="Arial" w:cs="Arial"/>
          <w:bCs/>
          <w:lang w:val="en-US"/>
        </w:rPr>
        <w:t xml:space="preserve">the external current account </w:t>
      </w:r>
      <w:r w:rsidR="00AB55E9" w:rsidRPr="00AB55E9">
        <w:rPr>
          <w:rFonts w:ascii="Arial" w:hAnsi="Arial" w:cs="Arial"/>
          <w:bCs/>
          <w:lang w:val="en-US"/>
        </w:rPr>
        <w:t xml:space="preserve">deficit </w:t>
      </w:r>
      <w:r w:rsidR="00DF41CE" w:rsidRPr="00AB55E9">
        <w:rPr>
          <w:rFonts w:ascii="Arial" w:hAnsi="Arial" w:cs="Arial"/>
          <w:bCs/>
          <w:lang w:val="en-US"/>
        </w:rPr>
        <w:t xml:space="preserve">for most economies in the region </w:t>
      </w:r>
      <w:r w:rsidR="00AB55E9">
        <w:rPr>
          <w:rFonts w:ascii="Arial" w:hAnsi="Arial" w:cs="Arial"/>
          <w:bCs/>
          <w:lang w:val="en-US"/>
        </w:rPr>
        <w:t xml:space="preserve">is due to the usual </w:t>
      </w:r>
      <w:r w:rsidR="00AB55E9" w:rsidRPr="00AB55E9">
        <w:rPr>
          <w:rFonts w:ascii="Arial" w:hAnsi="Arial" w:cs="Arial"/>
          <w:bCs/>
          <w:lang w:val="en-US"/>
        </w:rPr>
        <w:t xml:space="preserve">persistent </w:t>
      </w:r>
      <w:r w:rsidR="00B14CAE" w:rsidRPr="00AB55E9">
        <w:rPr>
          <w:rFonts w:ascii="Arial" w:hAnsi="Arial" w:cs="Arial"/>
          <w:bCs/>
          <w:lang w:val="en-US"/>
        </w:rPr>
        <w:t>trade imbalances due to a combination of declining export demand and relatively inelastic import bills, and in some cases</w:t>
      </w:r>
      <w:r w:rsidR="00866FE1">
        <w:rPr>
          <w:rFonts w:ascii="Arial" w:hAnsi="Arial" w:cs="Arial"/>
          <w:bCs/>
          <w:lang w:val="en-US"/>
        </w:rPr>
        <w:t>,</w:t>
      </w:r>
      <w:r w:rsidR="00B14CAE" w:rsidRPr="00AB55E9">
        <w:rPr>
          <w:rFonts w:ascii="Arial" w:hAnsi="Arial" w:cs="Arial"/>
          <w:bCs/>
          <w:lang w:val="en-US"/>
        </w:rPr>
        <w:t xml:space="preserve"> late disbursement of external aid flows faced by most countries in the COMESA region. </w:t>
      </w:r>
      <w:r w:rsidR="00AB55E9">
        <w:rPr>
          <w:rFonts w:ascii="Arial" w:hAnsi="Arial" w:cs="Arial"/>
          <w:bCs/>
          <w:lang w:val="en-US"/>
        </w:rPr>
        <w:t xml:space="preserve">The outturn </w:t>
      </w:r>
      <w:r w:rsidR="003634A2">
        <w:rPr>
          <w:rFonts w:ascii="Arial" w:hAnsi="Arial" w:cs="Arial"/>
          <w:bCs/>
          <w:lang w:val="en-US"/>
        </w:rPr>
        <w:t xml:space="preserve">for </w:t>
      </w:r>
      <w:r w:rsidR="00AB55E9">
        <w:rPr>
          <w:rFonts w:ascii="Arial" w:hAnsi="Arial" w:cs="Arial"/>
          <w:bCs/>
          <w:lang w:val="en-US"/>
        </w:rPr>
        <w:t xml:space="preserve">the year under review is </w:t>
      </w:r>
      <w:r w:rsidR="00DF41CE" w:rsidRPr="00AB55E9">
        <w:rPr>
          <w:rFonts w:ascii="Arial" w:hAnsi="Arial" w:cs="Arial"/>
          <w:bCs/>
          <w:lang w:val="en-US"/>
        </w:rPr>
        <w:t>primarily due to the effects of COVID-19 pandemic</w:t>
      </w:r>
      <w:r w:rsidR="00B14CAE" w:rsidRPr="00AB55E9">
        <w:rPr>
          <w:rFonts w:ascii="Arial" w:hAnsi="Arial" w:cs="Arial"/>
          <w:bCs/>
          <w:lang w:val="en-US"/>
        </w:rPr>
        <w:t xml:space="preserve">. </w:t>
      </w:r>
      <w:r w:rsidR="003634A2">
        <w:rPr>
          <w:rFonts w:ascii="Arial" w:hAnsi="Arial" w:cs="Arial"/>
          <w:bCs/>
          <w:lang w:val="en-US"/>
        </w:rPr>
        <w:t>D</w:t>
      </w:r>
      <w:r w:rsidR="00DF41CE" w:rsidRPr="00AB55E9">
        <w:rPr>
          <w:rFonts w:ascii="Arial" w:hAnsi="Arial" w:cs="Arial"/>
          <w:bCs/>
          <w:lang w:val="en-US"/>
        </w:rPr>
        <w:t>isruption</w:t>
      </w:r>
      <w:r w:rsidR="003634A2">
        <w:rPr>
          <w:rFonts w:ascii="Arial" w:hAnsi="Arial" w:cs="Arial"/>
          <w:bCs/>
          <w:lang w:val="en-US"/>
        </w:rPr>
        <w:t xml:space="preserve">s to </w:t>
      </w:r>
      <w:r w:rsidR="00DF41CE" w:rsidRPr="00AB55E9">
        <w:rPr>
          <w:rFonts w:ascii="Arial" w:hAnsi="Arial" w:cs="Arial"/>
          <w:bCs/>
          <w:lang w:val="en-US"/>
        </w:rPr>
        <w:t xml:space="preserve">domestic </w:t>
      </w:r>
      <w:r w:rsidR="00F9584B" w:rsidRPr="00AB55E9">
        <w:rPr>
          <w:rFonts w:ascii="Arial" w:hAnsi="Arial" w:cs="Arial"/>
          <w:bCs/>
          <w:lang w:val="en-US"/>
        </w:rPr>
        <w:t xml:space="preserve">and regional trade and value chains </w:t>
      </w:r>
      <w:r w:rsidR="003634A2">
        <w:rPr>
          <w:rFonts w:ascii="Arial" w:hAnsi="Arial" w:cs="Arial"/>
          <w:bCs/>
          <w:lang w:val="en-US"/>
        </w:rPr>
        <w:t xml:space="preserve">occasioned by </w:t>
      </w:r>
      <w:r w:rsidR="00F9584B" w:rsidRPr="00AB55E9">
        <w:rPr>
          <w:rFonts w:ascii="Arial" w:hAnsi="Arial" w:cs="Arial"/>
          <w:bCs/>
          <w:lang w:val="en-US"/>
        </w:rPr>
        <w:t>lockdowns, together with similar disruption</w:t>
      </w:r>
      <w:r w:rsidR="008D1457" w:rsidRPr="00AB55E9">
        <w:rPr>
          <w:rFonts w:ascii="Arial" w:hAnsi="Arial" w:cs="Arial"/>
          <w:bCs/>
          <w:lang w:val="en-US"/>
        </w:rPr>
        <w:t>s</w:t>
      </w:r>
      <w:r w:rsidR="00F9584B" w:rsidRPr="00AB55E9">
        <w:rPr>
          <w:rFonts w:ascii="Arial" w:hAnsi="Arial" w:cs="Arial"/>
          <w:bCs/>
          <w:lang w:val="en-US"/>
        </w:rPr>
        <w:t xml:space="preserve"> at global level, </w:t>
      </w:r>
      <w:r w:rsidR="00AB55E9">
        <w:rPr>
          <w:rFonts w:ascii="Arial" w:hAnsi="Arial" w:cs="Arial"/>
          <w:bCs/>
          <w:lang w:val="en-US"/>
        </w:rPr>
        <w:t>s</w:t>
      </w:r>
      <w:r w:rsidR="00F9584B" w:rsidRPr="00AB55E9">
        <w:rPr>
          <w:rFonts w:ascii="Arial" w:hAnsi="Arial" w:cs="Arial"/>
          <w:bCs/>
          <w:lang w:val="en-US"/>
        </w:rPr>
        <w:t>everely affected trade for most countries.</w:t>
      </w:r>
      <w:r w:rsidR="003634A2">
        <w:rPr>
          <w:rFonts w:ascii="Arial" w:hAnsi="Arial" w:cs="Arial"/>
          <w:bCs/>
          <w:lang w:val="en-US"/>
        </w:rPr>
        <w:t xml:space="preserve"> </w:t>
      </w:r>
    </w:p>
    <w:p w14:paraId="3B7C9FAC" w14:textId="77777777" w:rsidR="008E14D5" w:rsidRDefault="008E14D5" w:rsidP="008E14D5">
      <w:pPr>
        <w:spacing w:after="160"/>
        <w:jc w:val="both"/>
        <w:rPr>
          <w:rFonts w:ascii="Arial" w:hAnsi="Arial" w:cs="Arial"/>
          <w:bCs/>
          <w:lang w:val="en-US"/>
        </w:rPr>
      </w:pPr>
      <w:r>
        <w:rPr>
          <w:rFonts w:ascii="Arial" w:hAnsi="Arial" w:cs="Arial"/>
          <w:bCs/>
          <w:lang w:val="en-US"/>
        </w:rPr>
        <w:t xml:space="preserve">The </w:t>
      </w:r>
      <w:r w:rsidRPr="00AB55E9">
        <w:rPr>
          <w:rFonts w:ascii="Arial" w:hAnsi="Arial" w:cs="Arial"/>
          <w:bCs/>
          <w:lang w:val="en-US"/>
        </w:rPr>
        <w:t xml:space="preserve">external current account including grants is projected to improve to -4.5% </w:t>
      </w:r>
      <w:r>
        <w:rPr>
          <w:rFonts w:ascii="Arial" w:hAnsi="Arial" w:cs="Arial"/>
          <w:bCs/>
          <w:lang w:val="en-US"/>
        </w:rPr>
        <w:t xml:space="preserve">of GDP </w:t>
      </w:r>
      <w:r w:rsidRPr="00AB55E9">
        <w:rPr>
          <w:rFonts w:ascii="Arial" w:hAnsi="Arial" w:cs="Arial"/>
          <w:bCs/>
          <w:lang w:val="en-US"/>
        </w:rPr>
        <w:t>in 2021 and further to -4.3%</w:t>
      </w:r>
      <w:r>
        <w:rPr>
          <w:rFonts w:ascii="Arial" w:hAnsi="Arial" w:cs="Arial"/>
          <w:bCs/>
          <w:lang w:val="en-US"/>
        </w:rPr>
        <w:t xml:space="preserve"> of GDP</w:t>
      </w:r>
      <w:r w:rsidRPr="00AB55E9">
        <w:rPr>
          <w:rFonts w:ascii="Arial" w:hAnsi="Arial" w:cs="Arial"/>
          <w:bCs/>
          <w:lang w:val="en-US"/>
        </w:rPr>
        <w:t xml:space="preserve"> in 2022</w:t>
      </w:r>
      <w:r>
        <w:rPr>
          <w:rFonts w:ascii="Arial" w:hAnsi="Arial" w:cs="Arial"/>
          <w:bCs/>
          <w:lang w:val="en-US"/>
        </w:rPr>
        <w:t xml:space="preserve"> </w:t>
      </w:r>
      <w:r w:rsidRPr="002174D5">
        <w:rPr>
          <w:rFonts w:ascii="Arial" w:hAnsi="Arial" w:cs="Arial"/>
          <w:bCs/>
          <w:lang w:val="en-US"/>
        </w:rPr>
        <w:t>(</w:t>
      </w:r>
      <w:r>
        <w:rPr>
          <w:rFonts w:ascii="Arial" w:hAnsi="Arial" w:cs="Arial"/>
          <w:b/>
          <w:bCs/>
          <w:lang w:val="en-US"/>
        </w:rPr>
        <w:t>Fig. 5</w:t>
      </w:r>
      <w:r w:rsidRPr="002174D5">
        <w:rPr>
          <w:rFonts w:ascii="Arial" w:hAnsi="Arial" w:cs="Arial"/>
          <w:bCs/>
          <w:lang w:val="en-US"/>
        </w:rPr>
        <w:t>).</w:t>
      </w:r>
      <w:r w:rsidRPr="00AB55E9">
        <w:rPr>
          <w:rFonts w:ascii="Arial" w:hAnsi="Arial" w:cs="Arial"/>
          <w:bCs/>
          <w:lang w:val="en-US"/>
        </w:rPr>
        <w:t xml:space="preserve"> </w:t>
      </w:r>
      <w:r>
        <w:rPr>
          <w:rFonts w:ascii="Arial" w:hAnsi="Arial" w:cs="Arial"/>
          <w:bCs/>
          <w:lang w:val="en-US"/>
        </w:rPr>
        <w:t xml:space="preserve">This improvement is being anchored on increases in exports as worldwide demand firms up, </w:t>
      </w:r>
      <w:r w:rsidRPr="002C20DD">
        <w:rPr>
          <w:rFonts w:ascii="Arial" w:hAnsi="Arial" w:cs="Arial"/>
          <w:lang w:val="en-US"/>
        </w:rPr>
        <w:t xml:space="preserve">higher </w:t>
      </w:r>
      <w:r>
        <w:rPr>
          <w:rFonts w:ascii="Arial" w:hAnsi="Arial" w:cs="Arial"/>
          <w:lang w:val="en-US"/>
        </w:rPr>
        <w:t xml:space="preserve">export </w:t>
      </w:r>
      <w:r w:rsidRPr="002C20DD">
        <w:rPr>
          <w:rFonts w:ascii="Arial" w:hAnsi="Arial" w:cs="Arial"/>
          <w:lang w:val="en-US"/>
        </w:rPr>
        <w:t>commodity prices</w:t>
      </w:r>
      <w:r>
        <w:rPr>
          <w:rFonts w:ascii="Arial" w:hAnsi="Arial" w:cs="Arial"/>
          <w:bCs/>
          <w:lang w:val="en-US"/>
        </w:rPr>
        <w:t xml:space="preserve"> for commodity exporters </w:t>
      </w:r>
      <w:r w:rsidRPr="002C20DD">
        <w:rPr>
          <w:rFonts w:ascii="Arial" w:hAnsi="Arial" w:cs="Arial"/>
          <w:lang w:val="en-US"/>
        </w:rPr>
        <w:t>and a resumption of capital inflows</w:t>
      </w:r>
      <w:r>
        <w:rPr>
          <w:rFonts w:ascii="Arial" w:hAnsi="Arial" w:cs="Arial"/>
          <w:lang w:val="en-US"/>
        </w:rPr>
        <w:t xml:space="preserve">, particularly </w:t>
      </w:r>
      <w:r>
        <w:rPr>
          <w:rFonts w:ascii="Arial" w:hAnsi="Arial" w:cs="Arial"/>
          <w:bCs/>
          <w:lang w:val="en-US"/>
        </w:rPr>
        <w:t>recovery in remittances.</w:t>
      </w:r>
    </w:p>
    <w:p w14:paraId="68942C7B" w14:textId="177B62F2" w:rsidR="00E66874" w:rsidRDefault="00E66874" w:rsidP="00AB55E9">
      <w:pPr>
        <w:jc w:val="both"/>
        <w:rPr>
          <w:rFonts w:ascii="Arial" w:hAnsi="Arial" w:cs="Arial"/>
          <w:bCs/>
          <w:lang w:val="en-US"/>
        </w:rPr>
      </w:pPr>
    </w:p>
    <w:p w14:paraId="4690CB82" w14:textId="74795318" w:rsidR="007D7977" w:rsidRPr="00A04EF3" w:rsidRDefault="00817708" w:rsidP="00A04EF3">
      <w:pPr>
        <w:spacing w:after="0" w:line="240" w:lineRule="auto"/>
        <w:jc w:val="both"/>
        <w:rPr>
          <w:rFonts w:ascii="Arial" w:hAnsi="Arial" w:cs="Arial"/>
          <w:bCs/>
          <w:iCs/>
          <w:lang w:val="en-US"/>
        </w:rPr>
      </w:pPr>
      <w:r w:rsidRPr="00A04EF3">
        <w:rPr>
          <w:rFonts w:ascii="Arial" w:hAnsi="Arial" w:cs="Arial"/>
          <w:bCs/>
          <w:iCs/>
          <w:lang w:val="en-US"/>
        </w:rPr>
        <w:t xml:space="preserve">Figure </w:t>
      </w:r>
      <w:r w:rsidRPr="00A04EF3">
        <w:rPr>
          <w:rFonts w:ascii="Arial" w:hAnsi="Arial" w:cs="Arial"/>
          <w:bCs/>
          <w:iCs/>
          <w:lang w:val="en-US"/>
        </w:rPr>
        <w:fldChar w:fldCharType="begin"/>
      </w:r>
      <w:r w:rsidRPr="00A04EF3">
        <w:rPr>
          <w:rFonts w:ascii="Arial" w:hAnsi="Arial" w:cs="Arial"/>
          <w:bCs/>
          <w:iCs/>
          <w:lang w:val="en-US"/>
        </w:rPr>
        <w:instrText xml:space="preserve"> SEQ Figure \* ARABIC </w:instrText>
      </w:r>
      <w:r w:rsidRPr="00A04EF3">
        <w:rPr>
          <w:rFonts w:ascii="Arial" w:hAnsi="Arial" w:cs="Arial"/>
          <w:bCs/>
          <w:iCs/>
          <w:lang w:val="en-US"/>
        </w:rPr>
        <w:fldChar w:fldCharType="separate"/>
      </w:r>
      <w:r w:rsidR="00E66874">
        <w:rPr>
          <w:rFonts w:ascii="Arial" w:hAnsi="Arial" w:cs="Arial"/>
          <w:bCs/>
          <w:iCs/>
          <w:noProof/>
          <w:lang w:val="en-US"/>
        </w:rPr>
        <w:t>5</w:t>
      </w:r>
      <w:r w:rsidRPr="00A04EF3">
        <w:rPr>
          <w:rFonts w:ascii="Arial" w:hAnsi="Arial" w:cs="Arial"/>
          <w:bCs/>
          <w:iCs/>
          <w:lang w:val="en-US"/>
        </w:rPr>
        <w:fldChar w:fldCharType="end"/>
      </w:r>
      <w:r w:rsidRPr="00A04EF3">
        <w:rPr>
          <w:rFonts w:ascii="Arial" w:hAnsi="Arial" w:cs="Arial"/>
          <w:bCs/>
          <w:iCs/>
          <w:lang w:val="en-US"/>
        </w:rPr>
        <w:t>: COMESA average External Current Account (</w:t>
      </w:r>
      <w:r w:rsidR="001A7612" w:rsidRPr="00A04EF3">
        <w:rPr>
          <w:rFonts w:ascii="Arial" w:hAnsi="Arial" w:cs="Arial"/>
          <w:bCs/>
          <w:iCs/>
          <w:lang w:val="en-US"/>
        </w:rPr>
        <w:t>i</w:t>
      </w:r>
      <w:r w:rsidRPr="00A04EF3">
        <w:rPr>
          <w:rFonts w:ascii="Arial" w:hAnsi="Arial" w:cs="Arial"/>
          <w:bCs/>
          <w:iCs/>
          <w:lang w:val="en-US"/>
        </w:rPr>
        <w:t>ncl. Grants, % of GDP)</w:t>
      </w:r>
      <w:r w:rsidR="00001AC8" w:rsidRPr="00A04EF3">
        <w:rPr>
          <w:rFonts w:ascii="Arial" w:hAnsi="Arial" w:cs="Arial"/>
          <w:bCs/>
          <w:iCs/>
          <w:lang w:val="en-US"/>
        </w:rPr>
        <w:t> </w:t>
      </w:r>
    </w:p>
    <w:p w14:paraId="71FE1BE4" w14:textId="6D22CED5" w:rsidR="002A0BD8" w:rsidRDefault="00F07212" w:rsidP="002A0BD8">
      <w:pPr>
        <w:spacing w:after="0" w:line="240" w:lineRule="auto"/>
        <w:rPr>
          <w:lang w:val="en-GB" w:eastAsia="en-US" w:bidi="ar-SA"/>
        </w:rPr>
      </w:pPr>
      <w:r>
        <w:rPr>
          <w:noProof/>
          <w:lang w:val="en-US" w:eastAsia="en-US" w:bidi="ar-SA"/>
        </w:rPr>
        <w:drawing>
          <wp:inline distT="0" distB="0" distL="0" distR="0" wp14:anchorId="6B65AB8D" wp14:editId="26F55D78">
            <wp:extent cx="5471160" cy="2423160"/>
            <wp:effectExtent l="0" t="0" r="15240" b="1524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4E1991D" w14:textId="5C5A779B" w:rsidR="002A0BD8" w:rsidRDefault="002A0BD8" w:rsidP="002A0BD8">
      <w:pPr>
        <w:pStyle w:val="BodyText2"/>
        <w:rPr>
          <w:rFonts w:eastAsia="Calibri" w:cs="Arial"/>
          <w:b w:val="0"/>
          <w:sz w:val="20"/>
          <w:szCs w:val="20"/>
          <w:lang w:val="en-GB" w:bidi="fr-FR"/>
        </w:rPr>
      </w:pPr>
      <w:r w:rsidRPr="004C6F8E">
        <w:rPr>
          <w:rFonts w:eastAsia="Calibri" w:cs="Arial"/>
          <w:b w:val="0"/>
          <w:sz w:val="20"/>
          <w:szCs w:val="20"/>
          <w:lang w:val="en-GB" w:bidi="fr-FR"/>
        </w:rPr>
        <w:t>Source: IMF REO Sub Saharan Africa April 2021</w:t>
      </w:r>
    </w:p>
    <w:p w14:paraId="15AB65C7" w14:textId="6B6C4F6B" w:rsidR="00866FE1" w:rsidRDefault="00866FE1" w:rsidP="002A0BD8">
      <w:pPr>
        <w:pStyle w:val="BodyText2"/>
        <w:rPr>
          <w:rFonts w:eastAsia="Calibri" w:cs="Arial"/>
          <w:b w:val="0"/>
          <w:sz w:val="20"/>
          <w:szCs w:val="20"/>
          <w:lang w:val="en-GB" w:bidi="fr-FR"/>
        </w:rPr>
      </w:pPr>
    </w:p>
    <w:p w14:paraId="00B414A8" w14:textId="77777777" w:rsidR="00866FE1" w:rsidRDefault="00866FE1" w:rsidP="00866FE1">
      <w:pPr>
        <w:spacing w:after="120"/>
        <w:jc w:val="both"/>
        <w:rPr>
          <w:rFonts w:ascii="Arial" w:hAnsi="Arial" w:cs="Arial"/>
          <w:bCs/>
          <w:lang w:val="en-US"/>
        </w:rPr>
      </w:pPr>
      <w:r>
        <w:rPr>
          <w:rFonts w:ascii="Arial" w:hAnsi="Arial" w:cs="Arial"/>
          <w:bCs/>
          <w:lang w:val="en-US"/>
        </w:rPr>
        <w:t>G</w:t>
      </w:r>
      <w:r w:rsidRPr="00AB55E9">
        <w:rPr>
          <w:rFonts w:ascii="Arial" w:hAnsi="Arial" w:cs="Arial"/>
          <w:bCs/>
          <w:lang w:val="en-US"/>
        </w:rPr>
        <w:t xml:space="preserve">oing forward, COVID-19 crisis will likely reshape global value chains, bringing challenges but also opportunities for </w:t>
      </w:r>
      <w:r>
        <w:rPr>
          <w:rFonts w:ascii="Arial" w:hAnsi="Arial" w:cs="Arial"/>
          <w:bCs/>
          <w:lang w:val="en-US"/>
        </w:rPr>
        <w:t xml:space="preserve">the COMESA region and </w:t>
      </w:r>
      <w:r w:rsidRPr="00AB55E9">
        <w:rPr>
          <w:rFonts w:ascii="Arial" w:hAnsi="Arial" w:cs="Arial"/>
          <w:bCs/>
          <w:lang w:val="en-US"/>
        </w:rPr>
        <w:t>Africa</w:t>
      </w:r>
      <w:r>
        <w:rPr>
          <w:rFonts w:ascii="Arial" w:hAnsi="Arial" w:cs="Arial"/>
          <w:bCs/>
          <w:lang w:val="en-US"/>
        </w:rPr>
        <w:t xml:space="preserve"> at large</w:t>
      </w:r>
      <w:r w:rsidRPr="00AB55E9">
        <w:rPr>
          <w:rFonts w:ascii="Arial" w:hAnsi="Arial" w:cs="Arial"/>
          <w:bCs/>
          <w:lang w:val="en-US"/>
        </w:rPr>
        <w:t xml:space="preserve">. Strengthening continental value chains should be a priority given the uncertain global business environment. As the private sector advances its digital transition, it is important for the continent to invest in enhancing essential telecommunication infrastructure, including fiber optics and high-speed Internet, as well as to complete the regulatory (e-commerce) agenda for digital transition. This will be essential for the emergence and expansion of 21st century value chains in the region. In the medium-long term, </w:t>
      </w:r>
      <w:r w:rsidRPr="00AB55E9">
        <w:rPr>
          <w:rFonts w:ascii="Arial" w:hAnsi="Arial" w:cs="Arial"/>
          <w:bCs/>
          <w:lang w:val="en-US"/>
        </w:rPr>
        <w:lastRenderedPageBreak/>
        <w:t xml:space="preserve">the effective implementation of regional integration agenda of the Regional Economic Communities and the </w:t>
      </w:r>
      <w:proofErr w:type="spellStart"/>
      <w:r w:rsidRPr="00AB55E9">
        <w:rPr>
          <w:rFonts w:ascii="Arial" w:hAnsi="Arial" w:cs="Arial"/>
          <w:bCs/>
          <w:lang w:val="en-US"/>
        </w:rPr>
        <w:t>AfCFTA</w:t>
      </w:r>
      <w:proofErr w:type="spellEnd"/>
      <w:r w:rsidRPr="00AB55E9">
        <w:rPr>
          <w:rFonts w:ascii="Arial" w:hAnsi="Arial" w:cs="Arial"/>
          <w:bCs/>
          <w:lang w:val="en-US"/>
        </w:rPr>
        <w:t xml:space="preserve"> will be key to strengthen</w:t>
      </w:r>
      <w:r>
        <w:rPr>
          <w:rFonts w:ascii="Arial" w:hAnsi="Arial" w:cs="Arial"/>
          <w:bCs/>
          <w:lang w:val="en-US"/>
        </w:rPr>
        <w:t>ing</w:t>
      </w:r>
      <w:r w:rsidRPr="00AB55E9">
        <w:rPr>
          <w:rFonts w:ascii="Arial" w:hAnsi="Arial" w:cs="Arial"/>
          <w:bCs/>
          <w:lang w:val="en-US"/>
        </w:rPr>
        <w:t xml:space="preserve"> regional production networks and trade, reduce the continent’s vulnerability to external shocks, and consequently lead to improvements in external current account balances.</w:t>
      </w:r>
    </w:p>
    <w:p w14:paraId="352FAAB1" w14:textId="77777777" w:rsidR="00866FE1" w:rsidRPr="004C6F8E" w:rsidRDefault="00866FE1" w:rsidP="002A0BD8">
      <w:pPr>
        <w:pStyle w:val="BodyText2"/>
        <w:rPr>
          <w:rFonts w:eastAsia="Calibri" w:cs="Arial"/>
          <w:b w:val="0"/>
          <w:sz w:val="20"/>
          <w:szCs w:val="20"/>
          <w:lang w:val="en-GB" w:bidi="fr-FR"/>
        </w:rPr>
      </w:pPr>
    </w:p>
    <w:p w14:paraId="06966EC1" w14:textId="77777777" w:rsidR="00F653CB" w:rsidRPr="00833A6C" w:rsidRDefault="00B14CAE" w:rsidP="008E14D5">
      <w:pPr>
        <w:pStyle w:val="Heading1"/>
        <w:numPr>
          <w:ilvl w:val="0"/>
          <w:numId w:val="10"/>
        </w:numPr>
        <w:spacing w:before="0" w:after="120" w:line="276" w:lineRule="auto"/>
        <w:rPr>
          <w:rFonts w:ascii="Arial" w:hAnsi="Arial" w:cs="Arial"/>
          <w:sz w:val="22"/>
          <w:szCs w:val="22"/>
        </w:rPr>
      </w:pPr>
      <w:bookmarkStart w:id="18" w:name="_Toc505769859"/>
      <w:bookmarkStart w:id="19" w:name="_Toc70943221"/>
      <w:r w:rsidRPr="00833A6C">
        <w:rPr>
          <w:rFonts w:ascii="Arial" w:hAnsi="Arial" w:cs="Arial"/>
          <w:sz w:val="22"/>
          <w:szCs w:val="22"/>
        </w:rPr>
        <w:t>Reserve Accumulation</w:t>
      </w:r>
      <w:bookmarkEnd w:id="18"/>
      <w:bookmarkEnd w:id="19"/>
    </w:p>
    <w:p w14:paraId="54238601" w14:textId="77777777" w:rsidR="000B38CC" w:rsidRPr="00BA6D6E" w:rsidRDefault="000B38CC" w:rsidP="000B38CC">
      <w:pPr>
        <w:pStyle w:val="NoSpacing"/>
        <w:ind w:left="630"/>
        <w:jc w:val="both"/>
        <w:rPr>
          <w:rFonts w:eastAsia="Times New Roman"/>
          <w:b/>
          <w:kern w:val="32"/>
          <w:lang w:val="en-US" w:eastAsia="x-none" w:bidi="ar-SA"/>
        </w:rPr>
      </w:pPr>
    </w:p>
    <w:p w14:paraId="003C2EBF" w14:textId="4F0B43CF" w:rsidR="00A705E7" w:rsidRDefault="00AD435E" w:rsidP="00A705E7">
      <w:pPr>
        <w:jc w:val="both"/>
        <w:rPr>
          <w:rFonts w:ascii="Arial" w:hAnsi="Arial" w:cs="Arial"/>
          <w:lang w:val="en-US"/>
        </w:rPr>
      </w:pPr>
      <w:r w:rsidRPr="001E6D9F">
        <w:rPr>
          <w:rFonts w:ascii="Arial" w:hAnsi="Arial" w:cs="Arial"/>
          <w:lang w:val="en-US"/>
        </w:rPr>
        <w:t xml:space="preserve">The </w:t>
      </w:r>
      <w:r w:rsidR="001E6D9F" w:rsidRPr="001E6D9F">
        <w:rPr>
          <w:rFonts w:ascii="Arial" w:hAnsi="Arial" w:cs="Arial"/>
          <w:lang w:val="en-US"/>
        </w:rPr>
        <w:t xml:space="preserve">COMESA region </w:t>
      </w:r>
      <w:r w:rsidRPr="001E6D9F">
        <w:rPr>
          <w:rFonts w:ascii="Arial" w:hAnsi="Arial" w:cs="Arial"/>
          <w:lang w:val="en-US"/>
        </w:rPr>
        <w:t xml:space="preserve">external reserve </w:t>
      </w:r>
      <w:r w:rsidR="001E6D9F">
        <w:rPr>
          <w:rFonts w:ascii="Arial" w:hAnsi="Arial" w:cs="Arial"/>
          <w:lang w:val="en-US"/>
        </w:rPr>
        <w:t xml:space="preserve">cover averaged </w:t>
      </w:r>
      <w:r w:rsidRPr="001E6D9F">
        <w:rPr>
          <w:rFonts w:ascii="Arial" w:hAnsi="Arial" w:cs="Arial"/>
          <w:lang w:val="en-US"/>
        </w:rPr>
        <w:t>3.</w:t>
      </w:r>
      <w:r w:rsidR="001E6D9F">
        <w:rPr>
          <w:rFonts w:ascii="Arial" w:hAnsi="Arial" w:cs="Arial"/>
          <w:lang w:val="en-US"/>
        </w:rPr>
        <w:t xml:space="preserve">2 in month of imports of goods and services, down from </w:t>
      </w:r>
      <w:r w:rsidR="009E6BEE" w:rsidRPr="001E6D9F">
        <w:rPr>
          <w:rFonts w:ascii="Arial" w:hAnsi="Arial" w:cs="Arial"/>
          <w:lang w:val="en-US"/>
        </w:rPr>
        <w:t>3.</w:t>
      </w:r>
      <w:r w:rsidR="001E6D9F">
        <w:rPr>
          <w:rFonts w:ascii="Arial" w:hAnsi="Arial" w:cs="Arial"/>
          <w:lang w:val="en-US"/>
        </w:rPr>
        <w:t xml:space="preserve">9 </w:t>
      </w:r>
      <w:r w:rsidR="009E6BEE" w:rsidRPr="001E6D9F">
        <w:rPr>
          <w:rFonts w:ascii="Arial" w:hAnsi="Arial" w:cs="Arial"/>
          <w:lang w:val="en-US"/>
        </w:rPr>
        <w:t>months of import of good and services in 201</w:t>
      </w:r>
      <w:r w:rsidR="001E6D9F">
        <w:rPr>
          <w:rFonts w:ascii="Arial" w:hAnsi="Arial" w:cs="Arial"/>
          <w:lang w:val="en-US"/>
        </w:rPr>
        <w:t>9</w:t>
      </w:r>
      <w:r w:rsidR="009E6BEE" w:rsidRPr="001E6D9F">
        <w:rPr>
          <w:rFonts w:ascii="Arial" w:hAnsi="Arial" w:cs="Arial"/>
          <w:lang w:val="en-US"/>
        </w:rPr>
        <w:t xml:space="preserve">. </w:t>
      </w:r>
      <w:r w:rsidR="00A705E7">
        <w:rPr>
          <w:rFonts w:ascii="Arial" w:hAnsi="Arial" w:cs="Arial"/>
          <w:lang w:val="en-US"/>
        </w:rPr>
        <w:t>The dip in</w:t>
      </w:r>
      <w:r w:rsidR="007B1F7D">
        <w:rPr>
          <w:rFonts w:ascii="Arial" w:hAnsi="Arial" w:cs="Arial"/>
          <w:lang w:val="en-US"/>
        </w:rPr>
        <w:t xml:space="preserve"> external reserves </w:t>
      </w:r>
      <w:r w:rsidR="00FD3522">
        <w:rPr>
          <w:rFonts w:ascii="Arial" w:hAnsi="Arial" w:cs="Arial"/>
          <w:lang w:val="en-US"/>
        </w:rPr>
        <w:t xml:space="preserve">in </w:t>
      </w:r>
      <w:r w:rsidR="00A705E7">
        <w:rPr>
          <w:rFonts w:ascii="Arial" w:hAnsi="Arial" w:cs="Arial"/>
          <w:lang w:val="en-US"/>
        </w:rPr>
        <w:t xml:space="preserve">months of imports of goods and services during the year under review reflects considerable pressure to </w:t>
      </w:r>
      <w:r w:rsidR="00A705E7" w:rsidRPr="001E6D9F">
        <w:rPr>
          <w:rFonts w:ascii="Arial" w:hAnsi="Arial" w:cs="Arial"/>
          <w:lang w:val="en-US"/>
        </w:rPr>
        <w:t>provi</w:t>
      </w:r>
      <w:r w:rsidR="00A705E7">
        <w:rPr>
          <w:rFonts w:ascii="Arial" w:hAnsi="Arial" w:cs="Arial"/>
          <w:lang w:val="en-US"/>
        </w:rPr>
        <w:t xml:space="preserve">de for </w:t>
      </w:r>
      <w:r w:rsidR="00A705E7" w:rsidRPr="001E6D9F">
        <w:rPr>
          <w:rFonts w:ascii="Arial" w:hAnsi="Arial" w:cs="Arial"/>
          <w:lang w:val="en-US"/>
        </w:rPr>
        <w:t>foreign exchange to</w:t>
      </w:r>
      <w:r w:rsidR="00A705E7">
        <w:rPr>
          <w:rFonts w:ascii="Arial" w:hAnsi="Arial" w:cs="Arial"/>
          <w:lang w:val="en-US"/>
        </w:rPr>
        <w:t xml:space="preserve"> support </w:t>
      </w:r>
      <w:r w:rsidR="00A705E7" w:rsidRPr="001E6D9F">
        <w:rPr>
          <w:rFonts w:ascii="Arial" w:hAnsi="Arial" w:cs="Arial"/>
          <w:lang w:val="en-US"/>
        </w:rPr>
        <w:t>import</w:t>
      </w:r>
      <w:r w:rsidR="00A705E7">
        <w:rPr>
          <w:rFonts w:ascii="Arial" w:hAnsi="Arial" w:cs="Arial"/>
          <w:lang w:val="en-US"/>
        </w:rPr>
        <w:t xml:space="preserve">ation of COVID-19 </w:t>
      </w:r>
      <w:r w:rsidR="00A705E7" w:rsidRPr="001E6D9F">
        <w:rPr>
          <w:rFonts w:ascii="Arial" w:hAnsi="Arial" w:cs="Arial"/>
          <w:lang w:val="en-US"/>
        </w:rPr>
        <w:t xml:space="preserve">health related equipment’s and drugs; </w:t>
      </w:r>
      <w:r w:rsidR="00A705E7">
        <w:rPr>
          <w:rFonts w:ascii="Arial" w:hAnsi="Arial" w:cs="Arial"/>
          <w:lang w:val="en-US"/>
        </w:rPr>
        <w:t>smooth</w:t>
      </w:r>
      <w:r w:rsidR="00FD3522">
        <w:rPr>
          <w:rFonts w:ascii="Arial" w:hAnsi="Arial" w:cs="Arial"/>
          <w:lang w:val="en-US"/>
        </w:rPr>
        <w:t>ing</w:t>
      </w:r>
      <w:r w:rsidR="00A705E7">
        <w:rPr>
          <w:rFonts w:ascii="Arial" w:hAnsi="Arial" w:cs="Arial"/>
          <w:lang w:val="en-US"/>
        </w:rPr>
        <w:t xml:space="preserve"> disruptive volatility in the exchange rate </w:t>
      </w:r>
      <w:r w:rsidR="00A705E7" w:rsidRPr="001E6D9F">
        <w:rPr>
          <w:rFonts w:ascii="Arial" w:hAnsi="Arial" w:cs="Arial"/>
          <w:lang w:val="en-US"/>
        </w:rPr>
        <w:t xml:space="preserve">and </w:t>
      </w:r>
      <w:r w:rsidR="00A705E7">
        <w:rPr>
          <w:rFonts w:ascii="Arial" w:hAnsi="Arial" w:cs="Arial"/>
          <w:lang w:val="en-US"/>
        </w:rPr>
        <w:t>support</w:t>
      </w:r>
      <w:r w:rsidR="00FD3522">
        <w:rPr>
          <w:rFonts w:ascii="Arial" w:hAnsi="Arial" w:cs="Arial"/>
          <w:lang w:val="en-US"/>
        </w:rPr>
        <w:t>ing</w:t>
      </w:r>
      <w:r w:rsidR="00A705E7">
        <w:rPr>
          <w:rFonts w:ascii="Arial" w:hAnsi="Arial" w:cs="Arial"/>
          <w:lang w:val="en-US"/>
        </w:rPr>
        <w:t xml:space="preserve"> food </w:t>
      </w:r>
      <w:r w:rsidR="00A705E7" w:rsidRPr="001E6D9F">
        <w:rPr>
          <w:rFonts w:ascii="Arial" w:hAnsi="Arial" w:cs="Arial"/>
          <w:lang w:val="en-US"/>
        </w:rPr>
        <w:t>import</w:t>
      </w:r>
      <w:r w:rsidR="00A705E7">
        <w:rPr>
          <w:rFonts w:ascii="Arial" w:hAnsi="Arial" w:cs="Arial"/>
          <w:lang w:val="en-US"/>
        </w:rPr>
        <w:t>s</w:t>
      </w:r>
      <w:r w:rsidR="00A705E7" w:rsidRPr="001E6D9F">
        <w:rPr>
          <w:rFonts w:ascii="Arial" w:hAnsi="Arial" w:cs="Arial"/>
          <w:lang w:val="en-US"/>
        </w:rPr>
        <w:t xml:space="preserve"> for food deficient economies</w:t>
      </w:r>
      <w:r w:rsidR="00A705E7">
        <w:rPr>
          <w:rFonts w:ascii="Arial" w:hAnsi="Arial" w:cs="Arial"/>
          <w:lang w:val="en-US"/>
        </w:rPr>
        <w:t xml:space="preserve"> of the region</w:t>
      </w:r>
      <w:r w:rsidR="00FD3522">
        <w:rPr>
          <w:rFonts w:ascii="Arial" w:hAnsi="Arial" w:cs="Arial"/>
          <w:lang w:val="en-US"/>
        </w:rPr>
        <w:t>.</w:t>
      </w:r>
      <w:r w:rsidR="00A705E7">
        <w:rPr>
          <w:rFonts w:ascii="Arial" w:hAnsi="Arial" w:cs="Arial"/>
          <w:lang w:val="en-US"/>
        </w:rPr>
        <w:t xml:space="preserve"> </w:t>
      </w:r>
      <w:r w:rsidR="00A705E7" w:rsidRPr="001E6D9F">
        <w:rPr>
          <w:rFonts w:ascii="Arial" w:hAnsi="Arial" w:cs="Arial"/>
          <w:lang w:val="en-US"/>
        </w:rPr>
        <w:t xml:space="preserve">Albeit low, the </w:t>
      </w:r>
      <w:r w:rsidR="00A705E7">
        <w:rPr>
          <w:rFonts w:ascii="Arial" w:hAnsi="Arial" w:cs="Arial"/>
          <w:lang w:val="en-US"/>
        </w:rPr>
        <w:t xml:space="preserve">average of 3 months of future imports of goods and services reserve cover over the last four consecutive years is a testimony to </w:t>
      </w:r>
      <w:r w:rsidR="00A705E7" w:rsidRPr="001E6D9F">
        <w:rPr>
          <w:rFonts w:ascii="Arial" w:hAnsi="Arial" w:cs="Arial"/>
          <w:lang w:val="en-US"/>
        </w:rPr>
        <w:t>prudent monetary and exchange rate policies</w:t>
      </w:r>
      <w:r w:rsidR="00A705E7">
        <w:rPr>
          <w:rFonts w:ascii="Arial" w:hAnsi="Arial" w:cs="Arial"/>
          <w:lang w:val="en-US"/>
        </w:rPr>
        <w:t xml:space="preserve">. In outer years of 2021 and 2022, </w:t>
      </w:r>
      <w:r w:rsidR="00A705E7" w:rsidRPr="001E6D9F">
        <w:rPr>
          <w:rFonts w:ascii="Arial" w:hAnsi="Arial" w:cs="Arial"/>
          <w:lang w:val="en-US"/>
        </w:rPr>
        <w:t xml:space="preserve">the average external reserve position for the region is expected to </w:t>
      </w:r>
      <w:r w:rsidR="00A705E7">
        <w:rPr>
          <w:rFonts w:ascii="Arial" w:hAnsi="Arial" w:cs="Arial"/>
          <w:lang w:val="en-US"/>
        </w:rPr>
        <w:t xml:space="preserve">hover around the historical average of </w:t>
      </w:r>
      <w:r w:rsidR="00A705E7" w:rsidRPr="001E6D9F">
        <w:rPr>
          <w:rFonts w:ascii="Arial" w:hAnsi="Arial" w:cs="Arial"/>
          <w:lang w:val="en-US"/>
        </w:rPr>
        <w:t>3</w:t>
      </w:r>
      <w:r w:rsidR="00A705E7">
        <w:rPr>
          <w:rFonts w:ascii="Arial" w:hAnsi="Arial" w:cs="Arial"/>
          <w:lang w:val="en-US"/>
        </w:rPr>
        <w:t>.2</w:t>
      </w:r>
      <w:r w:rsidR="00A705E7" w:rsidRPr="001E6D9F">
        <w:rPr>
          <w:rFonts w:ascii="Arial" w:hAnsi="Arial" w:cs="Arial"/>
          <w:lang w:val="en-US"/>
        </w:rPr>
        <w:t xml:space="preserve"> months of import of good and services</w:t>
      </w:r>
      <w:r w:rsidR="00A705E7">
        <w:rPr>
          <w:rFonts w:ascii="Arial" w:hAnsi="Arial" w:cs="Arial"/>
          <w:lang w:val="en-US"/>
        </w:rPr>
        <w:t xml:space="preserve"> </w:t>
      </w:r>
      <w:r w:rsidR="00A705E7" w:rsidRPr="001E6D9F">
        <w:rPr>
          <w:rFonts w:ascii="Arial" w:hAnsi="Arial" w:cs="Arial"/>
          <w:lang w:val="en-US"/>
        </w:rPr>
        <w:t>(</w:t>
      </w:r>
      <w:r w:rsidR="00A705E7" w:rsidRPr="00FD3522">
        <w:rPr>
          <w:rFonts w:ascii="Arial" w:hAnsi="Arial" w:cs="Arial"/>
          <w:b/>
          <w:bCs/>
          <w:lang w:val="en-US"/>
        </w:rPr>
        <w:t>Fig.6</w:t>
      </w:r>
      <w:r w:rsidR="00A705E7" w:rsidRPr="001E6D9F">
        <w:rPr>
          <w:rFonts w:ascii="Arial" w:hAnsi="Arial" w:cs="Arial"/>
          <w:lang w:val="en-US"/>
        </w:rPr>
        <w:t>).</w:t>
      </w:r>
      <w:r w:rsidR="008E14D5">
        <w:rPr>
          <w:rFonts w:ascii="Arial" w:hAnsi="Arial" w:cs="Arial"/>
          <w:lang w:val="en-US"/>
        </w:rPr>
        <w:t xml:space="preserve"> </w:t>
      </w:r>
    </w:p>
    <w:p w14:paraId="4EA70B26" w14:textId="3ADCD0A9" w:rsidR="00C54E9A" w:rsidRPr="009B3367" w:rsidRDefault="00C54E9A" w:rsidP="0054523D">
      <w:pPr>
        <w:pStyle w:val="Caption"/>
        <w:spacing w:after="0"/>
        <w:rPr>
          <w:rFonts w:ascii="Arial" w:hAnsi="Arial" w:cs="Arial"/>
          <w:b/>
          <w:i w:val="0"/>
          <w:iCs w:val="0"/>
          <w:color w:val="auto"/>
          <w:sz w:val="22"/>
          <w:szCs w:val="22"/>
          <w:lang w:val="en-US"/>
        </w:rPr>
      </w:pPr>
      <w:r w:rsidRPr="009B3367">
        <w:rPr>
          <w:rFonts w:ascii="Arial" w:hAnsi="Arial" w:cs="Arial"/>
          <w:b/>
          <w:i w:val="0"/>
          <w:iCs w:val="0"/>
          <w:color w:val="auto"/>
          <w:sz w:val="22"/>
          <w:szCs w:val="22"/>
          <w:lang w:val="en-US"/>
        </w:rPr>
        <w:t xml:space="preserve">Figure </w:t>
      </w:r>
      <w:r w:rsidRPr="009B3367">
        <w:rPr>
          <w:rFonts w:ascii="Arial" w:hAnsi="Arial" w:cs="Arial"/>
          <w:b/>
          <w:i w:val="0"/>
          <w:iCs w:val="0"/>
          <w:color w:val="auto"/>
          <w:sz w:val="22"/>
          <w:szCs w:val="22"/>
          <w:lang w:val="en-US"/>
        </w:rPr>
        <w:fldChar w:fldCharType="begin"/>
      </w:r>
      <w:r w:rsidRPr="009B3367">
        <w:rPr>
          <w:rFonts w:ascii="Arial" w:hAnsi="Arial" w:cs="Arial"/>
          <w:b/>
          <w:i w:val="0"/>
          <w:iCs w:val="0"/>
          <w:color w:val="auto"/>
          <w:sz w:val="22"/>
          <w:szCs w:val="22"/>
          <w:lang w:val="en-US"/>
        </w:rPr>
        <w:instrText xml:space="preserve"> SEQ Figure \* ARABIC </w:instrText>
      </w:r>
      <w:r w:rsidRPr="009B3367">
        <w:rPr>
          <w:rFonts w:ascii="Arial" w:hAnsi="Arial" w:cs="Arial"/>
          <w:b/>
          <w:i w:val="0"/>
          <w:iCs w:val="0"/>
          <w:color w:val="auto"/>
          <w:sz w:val="22"/>
          <w:szCs w:val="22"/>
          <w:lang w:val="en-US"/>
        </w:rPr>
        <w:fldChar w:fldCharType="separate"/>
      </w:r>
      <w:r w:rsidR="00E66874" w:rsidRPr="009B3367">
        <w:rPr>
          <w:rFonts w:ascii="Arial" w:hAnsi="Arial" w:cs="Arial"/>
          <w:b/>
          <w:i w:val="0"/>
          <w:iCs w:val="0"/>
          <w:noProof/>
          <w:color w:val="auto"/>
          <w:sz w:val="22"/>
          <w:szCs w:val="22"/>
          <w:lang w:val="en-US"/>
        </w:rPr>
        <w:t>6</w:t>
      </w:r>
      <w:r w:rsidRPr="009B3367">
        <w:rPr>
          <w:rFonts w:ascii="Arial" w:hAnsi="Arial" w:cs="Arial"/>
          <w:b/>
          <w:i w:val="0"/>
          <w:iCs w:val="0"/>
          <w:color w:val="auto"/>
          <w:sz w:val="22"/>
          <w:szCs w:val="22"/>
          <w:lang w:val="en-US"/>
        </w:rPr>
        <w:fldChar w:fldCharType="end"/>
      </w:r>
      <w:r w:rsidRPr="009B3367">
        <w:rPr>
          <w:rFonts w:ascii="Arial" w:hAnsi="Arial" w:cs="Arial"/>
          <w:b/>
          <w:i w:val="0"/>
          <w:iCs w:val="0"/>
          <w:color w:val="auto"/>
          <w:sz w:val="22"/>
          <w:szCs w:val="22"/>
          <w:lang w:val="en-US"/>
        </w:rPr>
        <w:t>: COMESA average Reserves (Months of imports of goods and services cover)</w:t>
      </w:r>
    </w:p>
    <w:p w14:paraId="796385FF" w14:textId="77777777" w:rsidR="00C54E9A" w:rsidRPr="00B6509D" w:rsidRDefault="00C54E9A" w:rsidP="00C54E9A">
      <w:pPr>
        <w:pStyle w:val="NoSpacing"/>
        <w:rPr>
          <w:b/>
          <w:lang w:val="en-US"/>
        </w:rPr>
      </w:pPr>
      <w:r>
        <w:rPr>
          <w:noProof/>
          <w:lang w:val="en-US" w:eastAsia="en-US" w:bidi="ar-SA"/>
        </w:rPr>
        <w:drawing>
          <wp:inline distT="0" distB="0" distL="0" distR="0" wp14:anchorId="17659435" wp14:editId="34A9E60E">
            <wp:extent cx="5821680" cy="2743200"/>
            <wp:effectExtent l="0" t="0" r="762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A1875A1" w14:textId="5D23A4C9" w:rsidR="00C54E9A" w:rsidRDefault="00C54E9A" w:rsidP="00C54E9A">
      <w:pPr>
        <w:pStyle w:val="BodyText2"/>
        <w:rPr>
          <w:rFonts w:eastAsia="Calibri" w:cs="Arial"/>
          <w:b w:val="0"/>
          <w:sz w:val="20"/>
          <w:szCs w:val="20"/>
          <w:lang w:val="en-GB" w:bidi="fr-FR"/>
        </w:rPr>
      </w:pPr>
      <w:r w:rsidRPr="004C6F8E">
        <w:rPr>
          <w:rFonts w:eastAsia="Calibri" w:cs="Arial"/>
          <w:b w:val="0"/>
          <w:sz w:val="20"/>
          <w:szCs w:val="20"/>
          <w:lang w:val="en-GB" w:bidi="fr-FR"/>
        </w:rPr>
        <w:t>Source: IMF REO Sub Saharan Africa April 2021</w:t>
      </w:r>
    </w:p>
    <w:p w14:paraId="3B75A4D6" w14:textId="77777777" w:rsidR="008E14D5" w:rsidRPr="004C6F8E" w:rsidRDefault="008E14D5" w:rsidP="00C54E9A">
      <w:pPr>
        <w:pStyle w:val="BodyText2"/>
        <w:rPr>
          <w:rFonts w:eastAsia="Calibri" w:cs="Arial"/>
          <w:b w:val="0"/>
          <w:sz w:val="20"/>
          <w:szCs w:val="20"/>
          <w:lang w:val="en-GB" w:bidi="fr-FR"/>
        </w:rPr>
      </w:pPr>
    </w:p>
    <w:p w14:paraId="4752CA62" w14:textId="239CDBD5" w:rsidR="0020340B" w:rsidRDefault="0020340B" w:rsidP="0020340B">
      <w:pPr>
        <w:pStyle w:val="NoSpacing"/>
        <w:ind w:left="630"/>
        <w:jc w:val="both"/>
        <w:rPr>
          <w:b/>
          <w:lang w:val="en-US"/>
        </w:rPr>
      </w:pPr>
    </w:p>
    <w:p w14:paraId="4E2AF362" w14:textId="33E644C8" w:rsidR="006A54BB" w:rsidRPr="005A3F76" w:rsidRDefault="0020340B" w:rsidP="008E14D5">
      <w:pPr>
        <w:pStyle w:val="Heading1"/>
        <w:numPr>
          <w:ilvl w:val="0"/>
          <w:numId w:val="10"/>
        </w:numPr>
        <w:spacing w:before="0" w:after="120" w:line="276" w:lineRule="auto"/>
        <w:rPr>
          <w:rFonts w:ascii="Arial" w:hAnsi="Arial" w:cs="Arial"/>
          <w:sz w:val="22"/>
          <w:szCs w:val="22"/>
        </w:rPr>
      </w:pPr>
      <w:bookmarkStart w:id="20" w:name="_Toc70943222"/>
      <w:r w:rsidRPr="005A3F76">
        <w:rPr>
          <w:rFonts w:ascii="Arial" w:hAnsi="Arial" w:cs="Arial"/>
          <w:sz w:val="22"/>
          <w:szCs w:val="22"/>
        </w:rPr>
        <w:t xml:space="preserve">Medium Term Prospects and Recommendations </w:t>
      </w:r>
      <w:r w:rsidR="00C54E9A" w:rsidRPr="005A3F76">
        <w:rPr>
          <w:rFonts w:ascii="Arial" w:hAnsi="Arial" w:cs="Arial"/>
          <w:sz w:val="22"/>
          <w:szCs w:val="22"/>
        </w:rPr>
        <w:t>for Chance</w:t>
      </w:r>
      <w:r w:rsidR="00464044" w:rsidRPr="005A3F76">
        <w:rPr>
          <w:rFonts w:ascii="Arial" w:hAnsi="Arial" w:cs="Arial"/>
          <w:sz w:val="22"/>
          <w:szCs w:val="22"/>
        </w:rPr>
        <w:t xml:space="preserve"> to Change</w:t>
      </w:r>
      <w:bookmarkEnd w:id="20"/>
    </w:p>
    <w:p w14:paraId="60C7D203" w14:textId="77777777" w:rsidR="006A54BB" w:rsidRPr="00B6509D" w:rsidRDefault="006A54BB" w:rsidP="002C3EB9">
      <w:pPr>
        <w:pStyle w:val="NoSpacing"/>
        <w:rPr>
          <w:b/>
          <w:lang w:val="en-US"/>
        </w:rPr>
      </w:pPr>
    </w:p>
    <w:p w14:paraId="61C10989" w14:textId="7152609B" w:rsidR="00A95061" w:rsidRDefault="00F464FC" w:rsidP="00FC40E3">
      <w:pPr>
        <w:pStyle w:val="ListParagraph"/>
        <w:numPr>
          <w:ilvl w:val="0"/>
          <w:numId w:val="13"/>
        </w:numPr>
        <w:jc w:val="both"/>
        <w:rPr>
          <w:rFonts w:ascii="Arial" w:hAnsi="Arial" w:cs="Arial"/>
          <w:lang w:val="en-US"/>
        </w:rPr>
      </w:pPr>
      <w:r>
        <w:rPr>
          <w:rFonts w:ascii="Arial" w:hAnsi="Arial" w:cs="Arial"/>
          <w:lang w:val="en-US"/>
        </w:rPr>
        <w:t xml:space="preserve">The </w:t>
      </w:r>
      <w:r w:rsidR="00A95061">
        <w:rPr>
          <w:rFonts w:ascii="Arial" w:hAnsi="Arial" w:cs="Arial"/>
          <w:lang w:val="en-US"/>
        </w:rPr>
        <w:t>immediate challenge for most countries in the region will be stopping the COVID-19 pandemic, as the r</w:t>
      </w:r>
      <w:r w:rsidR="00620859" w:rsidRPr="00620859">
        <w:rPr>
          <w:rFonts w:ascii="Arial" w:hAnsi="Arial" w:cs="Arial"/>
          <w:lang w:val="en-US"/>
        </w:rPr>
        <w:t xml:space="preserve">egion is still in the grip of </w:t>
      </w:r>
      <w:r w:rsidR="00A95061">
        <w:rPr>
          <w:rFonts w:ascii="Arial" w:hAnsi="Arial" w:cs="Arial"/>
          <w:lang w:val="en-US"/>
        </w:rPr>
        <w:t xml:space="preserve">the pandemic </w:t>
      </w:r>
      <w:r w:rsidR="00620859" w:rsidRPr="00620859">
        <w:rPr>
          <w:rFonts w:ascii="Arial" w:hAnsi="Arial" w:cs="Arial"/>
          <w:lang w:val="en-US"/>
        </w:rPr>
        <w:t>health and economic emergency</w:t>
      </w:r>
      <w:r w:rsidR="00620859">
        <w:rPr>
          <w:rFonts w:ascii="Arial" w:hAnsi="Arial" w:cs="Arial"/>
          <w:lang w:val="en-US"/>
        </w:rPr>
        <w:t xml:space="preserve">. Therefore, </w:t>
      </w:r>
      <w:r w:rsidR="00A95061">
        <w:rPr>
          <w:rFonts w:ascii="Arial" w:hAnsi="Arial" w:cs="Arial"/>
          <w:lang w:val="en-US"/>
        </w:rPr>
        <w:t xml:space="preserve">of </w:t>
      </w:r>
      <w:r w:rsidR="00620859" w:rsidRPr="00620859">
        <w:rPr>
          <w:rFonts w:ascii="Arial" w:hAnsi="Arial" w:cs="Arial"/>
          <w:lang w:val="en-US"/>
        </w:rPr>
        <w:t>priority</w:t>
      </w:r>
      <w:r w:rsidR="00620859">
        <w:rPr>
          <w:rFonts w:ascii="Arial" w:hAnsi="Arial" w:cs="Arial"/>
          <w:lang w:val="en-US"/>
        </w:rPr>
        <w:t xml:space="preserve">, going forward, </w:t>
      </w:r>
      <w:r w:rsidR="00620859" w:rsidRPr="00620859">
        <w:rPr>
          <w:rFonts w:ascii="Arial" w:hAnsi="Arial" w:cs="Arial"/>
          <w:lang w:val="en-US"/>
        </w:rPr>
        <w:t>is still to save lives</w:t>
      </w:r>
      <w:r w:rsidR="00A95061" w:rsidRPr="002C20DD">
        <w:rPr>
          <w:rFonts w:ascii="Arial" w:hAnsi="Arial" w:cs="Arial"/>
          <w:lang w:val="en-US"/>
        </w:rPr>
        <w:t>—</w:t>
      </w:r>
      <w:r w:rsidR="00A95061">
        <w:rPr>
          <w:rFonts w:ascii="Arial" w:hAnsi="Arial" w:cs="Arial"/>
          <w:lang w:val="en-US"/>
        </w:rPr>
        <w:t xml:space="preserve">which </w:t>
      </w:r>
      <w:r w:rsidR="00620859" w:rsidRPr="00620859">
        <w:rPr>
          <w:rFonts w:ascii="Arial" w:hAnsi="Arial" w:cs="Arial"/>
          <w:lang w:val="en-US"/>
        </w:rPr>
        <w:t xml:space="preserve">will </w:t>
      </w:r>
      <w:r w:rsidR="00A95061">
        <w:rPr>
          <w:rFonts w:ascii="Arial" w:hAnsi="Arial" w:cs="Arial"/>
          <w:lang w:val="en-US"/>
        </w:rPr>
        <w:t xml:space="preserve">entail </w:t>
      </w:r>
      <w:r w:rsidR="00620859" w:rsidRPr="00620859">
        <w:rPr>
          <w:rFonts w:ascii="Arial" w:hAnsi="Arial" w:cs="Arial"/>
          <w:lang w:val="en-US"/>
        </w:rPr>
        <w:t>added spending</w:t>
      </w:r>
      <w:r w:rsidR="00A95061">
        <w:rPr>
          <w:rFonts w:ascii="Arial" w:hAnsi="Arial" w:cs="Arial"/>
          <w:lang w:val="en-US"/>
        </w:rPr>
        <w:t xml:space="preserve"> </w:t>
      </w:r>
      <w:r w:rsidR="00620859" w:rsidRPr="00620859">
        <w:rPr>
          <w:rFonts w:ascii="Arial" w:hAnsi="Arial" w:cs="Arial"/>
          <w:lang w:val="en-US"/>
        </w:rPr>
        <w:t>to strengthen local health systems</w:t>
      </w:r>
      <w:r w:rsidR="005A3F76">
        <w:rPr>
          <w:rFonts w:ascii="Arial" w:hAnsi="Arial" w:cs="Arial"/>
          <w:lang w:val="en-US"/>
        </w:rPr>
        <w:t xml:space="preserve"> and </w:t>
      </w:r>
      <w:r w:rsidR="00620859" w:rsidRPr="00620859">
        <w:rPr>
          <w:rFonts w:ascii="Arial" w:hAnsi="Arial" w:cs="Arial"/>
          <w:lang w:val="en-US"/>
        </w:rPr>
        <w:t xml:space="preserve">containment efforts, </w:t>
      </w:r>
      <w:r w:rsidR="00A95061">
        <w:rPr>
          <w:rFonts w:ascii="Arial" w:hAnsi="Arial" w:cs="Arial"/>
          <w:lang w:val="en-US"/>
        </w:rPr>
        <w:t xml:space="preserve">and </w:t>
      </w:r>
      <w:r w:rsidR="00620859" w:rsidRPr="00620859">
        <w:rPr>
          <w:rFonts w:ascii="Arial" w:hAnsi="Arial" w:cs="Arial"/>
          <w:lang w:val="en-US"/>
        </w:rPr>
        <w:t>to ensure that the logistical and administrative prerequisites for a vaccine rollout are in place</w:t>
      </w:r>
      <w:r w:rsidR="00A95061">
        <w:rPr>
          <w:rFonts w:ascii="Arial" w:hAnsi="Arial" w:cs="Arial"/>
          <w:lang w:val="en-US"/>
        </w:rPr>
        <w:t xml:space="preserve">. </w:t>
      </w:r>
    </w:p>
    <w:p w14:paraId="607028FC" w14:textId="1BDBA0F7" w:rsidR="00920A9F" w:rsidRDefault="00E47A96" w:rsidP="00920A9F">
      <w:pPr>
        <w:pStyle w:val="ListParagraph"/>
        <w:numPr>
          <w:ilvl w:val="0"/>
          <w:numId w:val="13"/>
        </w:numPr>
        <w:jc w:val="both"/>
        <w:rPr>
          <w:rFonts w:ascii="Arial" w:hAnsi="Arial" w:cs="Arial"/>
          <w:lang w:val="en-US"/>
        </w:rPr>
      </w:pPr>
      <w:r>
        <w:rPr>
          <w:rFonts w:ascii="Arial" w:hAnsi="Arial" w:cs="Arial"/>
          <w:lang w:val="en-US"/>
        </w:rPr>
        <w:t xml:space="preserve">Member countries should </w:t>
      </w:r>
      <w:r w:rsidR="00A95061" w:rsidRPr="00A95061">
        <w:rPr>
          <w:rFonts w:ascii="Arial" w:hAnsi="Arial" w:cs="Arial"/>
          <w:lang w:val="en-US"/>
        </w:rPr>
        <w:t xml:space="preserve">do whatever is possible to support the speed of </w:t>
      </w:r>
      <w:r w:rsidR="00920A9F">
        <w:rPr>
          <w:rFonts w:ascii="Arial" w:hAnsi="Arial" w:cs="Arial"/>
          <w:lang w:val="en-US"/>
        </w:rPr>
        <w:t xml:space="preserve">recovery of </w:t>
      </w:r>
      <w:r w:rsidR="00A95061">
        <w:rPr>
          <w:rFonts w:ascii="Arial" w:hAnsi="Arial" w:cs="Arial"/>
          <w:lang w:val="en-US"/>
        </w:rPr>
        <w:t xml:space="preserve">their </w:t>
      </w:r>
      <w:r w:rsidR="00A95061" w:rsidRPr="00A95061">
        <w:rPr>
          <w:rFonts w:ascii="Arial" w:hAnsi="Arial" w:cs="Arial"/>
          <w:lang w:val="en-US"/>
        </w:rPr>
        <w:t>economi</w:t>
      </w:r>
      <w:r w:rsidR="00A95061">
        <w:rPr>
          <w:rFonts w:ascii="Arial" w:hAnsi="Arial" w:cs="Arial"/>
          <w:lang w:val="en-US"/>
        </w:rPr>
        <w:t xml:space="preserve">es. </w:t>
      </w:r>
      <w:r w:rsidR="00FD3522">
        <w:rPr>
          <w:rFonts w:ascii="Arial" w:hAnsi="Arial" w:cs="Arial"/>
          <w:lang w:val="en-US"/>
        </w:rPr>
        <w:t>F</w:t>
      </w:r>
      <w:r w:rsidR="00920A9F">
        <w:rPr>
          <w:rFonts w:ascii="Arial" w:hAnsi="Arial" w:cs="Arial"/>
          <w:lang w:val="en-US"/>
        </w:rPr>
        <w:t>iscal stimulus in the short run should be continued, targeting public health, crisis response and income support to the most vulnerable.</w:t>
      </w:r>
    </w:p>
    <w:p w14:paraId="1CB0524E" w14:textId="29AF3D41" w:rsidR="00E47A96" w:rsidRDefault="00920A9F" w:rsidP="00FC40E3">
      <w:pPr>
        <w:pStyle w:val="ListParagraph"/>
        <w:numPr>
          <w:ilvl w:val="0"/>
          <w:numId w:val="13"/>
        </w:numPr>
        <w:jc w:val="both"/>
        <w:rPr>
          <w:rFonts w:ascii="Arial" w:hAnsi="Arial" w:cs="Arial"/>
          <w:lang w:val="en-US"/>
        </w:rPr>
      </w:pPr>
      <w:r>
        <w:rPr>
          <w:rFonts w:ascii="Arial" w:hAnsi="Arial" w:cs="Arial"/>
          <w:lang w:val="en-US"/>
        </w:rPr>
        <w:lastRenderedPageBreak/>
        <w:t xml:space="preserve">To reign on the threatening debt levels, member countries </w:t>
      </w:r>
      <w:r w:rsidRPr="00920A9F">
        <w:rPr>
          <w:rFonts w:ascii="Arial" w:hAnsi="Arial" w:cs="Arial"/>
          <w:lang w:val="en-US"/>
        </w:rPr>
        <w:t xml:space="preserve">will </w:t>
      </w:r>
      <w:r>
        <w:rPr>
          <w:rFonts w:ascii="Arial" w:hAnsi="Arial" w:cs="Arial"/>
          <w:lang w:val="en-US"/>
        </w:rPr>
        <w:t xml:space="preserve">need </w:t>
      </w:r>
      <w:r w:rsidRPr="00920A9F">
        <w:rPr>
          <w:rFonts w:ascii="Arial" w:hAnsi="Arial" w:cs="Arial"/>
          <w:lang w:val="en-US"/>
        </w:rPr>
        <w:t>to create more fiscal space, through domestic revenue mobilization, prioritization and efficiency gains on spending</w:t>
      </w:r>
      <w:r>
        <w:rPr>
          <w:rFonts w:ascii="Arial" w:hAnsi="Arial" w:cs="Arial"/>
          <w:lang w:val="en-US"/>
        </w:rPr>
        <w:t xml:space="preserve">. Beyond this </w:t>
      </w:r>
      <w:r w:rsidRPr="00920A9F">
        <w:rPr>
          <w:rFonts w:ascii="Arial" w:hAnsi="Arial" w:cs="Arial"/>
          <w:lang w:val="en-US"/>
        </w:rPr>
        <w:t>revenue and spending measures</w:t>
      </w:r>
      <w:r>
        <w:rPr>
          <w:rFonts w:ascii="Arial" w:hAnsi="Arial" w:cs="Arial"/>
          <w:lang w:val="en-US"/>
        </w:rPr>
        <w:t xml:space="preserve">, governments need to maximize the </w:t>
      </w:r>
      <w:r w:rsidRPr="00920A9F">
        <w:rPr>
          <w:rFonts w:ascii="Arial" w:hAnsi="Arial" w:cs="Arial"/>
          <w:lang w:val="en-US"/>
        </w:rPr>
        <w:t>fiscal space by improving their fiscal frameworks</w:t>
      </w:r>
      <w:r>
        <w:rPr>
          <w:rFonts w:ascii="Arial" w:hAnsi="Arial" w:cs="Arial"/>
          <w:lang w:val="en-US"/>
        </w:rPr>
        <w:t xml:space="preserve"> to </w:t>
      </w:r>
      <w:r w:rsidR="009B3367">
        <w:rPr>
          <w:rFonts w:ascii="Arial" w:hAnsi="Arial" w:cs="Arial"/>
          <w:lang w:val="en-US"/>
        </w:rPr>
        <w:t>credibly balance</w:t>
      </w:r>
      <w:r w:rsidRPr="00920A9F">
        <w:rPr>
          <w:rFonts w:ascii="Arial" w:hAnsi="Arial" w:cs="Arial"/>
          <w:lang w:val="en-US"/>
        </w:rPr>
        <w:t xml:space="preserve"> the need for short-term support with medium-term consolidation</w:t>
      </w:r>
      <w:r>
        <w:rPr>
          <w:rFonts w:ascii="Arial" w:hAnsi="Arial" w:cs="Arial"/>
          <w:lang w:val="en-US"/>
        </w:rPr>
        <w:t xml:space="preserve">.   </w:t>
      </w:r>
    </w:p>
    <w:p w14:paraId="33522A37" w14:textId="17892808" w:rsidR="001D3A63" w:rsidRPr="001D3A63" w:rsidRDefault="00E47A96" w:rsidP="00FC40E3">
      <w:pPr>
        <w:pStyle w:val="ListParagraph"/>
        <w:numPr>
          <w:ilvl w:val="0"/>
          <w:numId w:val="13"/>
        </w:numPr>
        <w:jc w:val="both"/>
        <w:rPr>
          <w:rFonts w:ascii="Arial" w:hAnsi="Arial" w:cs="Arial"/>
          <w:lang w:val="en-US"/>
        </w:rPr>
      </w:pPr>
      <w:r>
        <w:rPr>
          <w:rFonts w:ascii="Arial" w:hAnsi="Arial" w:cs="Arial"/>
          <w:lang w:val="en-US"/>
        </w:rPr>
        <w:t>In the medium term, s</w:t>
      </w:r>
      <w:r w:rsidR="001D3A63" w:rsidRPr="001D3A63">
        <w:rPr>
          <w:rFonts w:ascii="Arial" w:hAnsi="Arial" w:cs="Arial"/>
          <w:lang w:val="en-US"/>
        </w:rPr>
        <w:t>tructural transformation and economic diversification of individual economies in the region</w:t>
      </w:r>
      <w:r>
        <w:rPr>
          <w:rFonts w:ascii="Arial" w:hAnsi="Arial" w:cs="Arial"/>
          <w:lang w:val="en-US"/>
        </w:rPr>
        <w:t xml:space="preserve"> will be crucial</w:t>
      </w:r>
      <w:r w:rsidR="001D3A63" w:rsidRPr="001D3A63">
        <w:rPr>
          <w:rFonts w:ascii="Arial" w:hAnsi="Arial" w:cs="Arial"/>
          <w:lang w:val="en-US"/>
        </w:rPr>
        <w:t xml:space="preserve">. COVID-19 </w:t>
      </w:r>
      <w:r w:rsidR="0038074B" w:rsidRPr="001D3A63">
        <w:rPr>
          <w:rFonts w:ascii="Arial" w:hAnsi="Arial" w:cs="Arial"/>
          <w:lang w:val="en-US"/>
        </w:rPr>
        <w:t>has</w:t>
      </w:r>
      <w:r w:rsidR="001D3A63" w:rsidRPr="001D3A63">
        <w:rPr>
          <w:rFonts w:ascii="Arial" w:hAnsi="Arial" w:cs="Arial"/>
          <w:lang w:val="en-US"/>
        </w:rPr>
        <w:t xml:space="preserve"> clearly demonstrated that with disrupted trade channels, local manufacturers have been able to rise to the </w:t>
      </w:r>
      <w:r w:rsidRPr="001D3A63">
        <w:rPr>
          <w:rFonts w:ascii="Arial" w:hAnsi="Arial" w:cs="Arial"/>
          <w:lang w:val="en-US"/>
        </w:rPr>
        <w:t>occasion</w:t>
      </w:r>
      <w:r>
        <w:rPr>
          <w:rFonts w:ascii="Arial" w:hAnsi="Arial" w:cs="Arial"/>
          <w:lang w:val="en-US"/>
        </w:rPr>
        <w:t xml:space="preserve">. There is therefore </w:t>
      </w:r>
      <w:r w:rsidR="001D3A63" w:rsidRPr="001D3A63">
        <w:rPr>
          <w:rFonts w:ascii="Arial" w:hAnsi="Arial" w:cs="Arial"/>
          <w:lang w:val="en-US"/>
        </w:rPr>
        <w:t>need to</w:t>
      </w:r>
      <w:r w:rsidR="001D3A63">
        <w:rPr>
          <w:rFonts w:ascii="Arial" w:hAnsi="Arial" w:cs="Arial"/>
          <w:lang w:val="en-US"/>
        </w:rPr>
        <w:t xml:space="preserve"> s</w:t>
      </w:r>
      <w:r w:rsidR="001D3A63" w:rsidRPr="001D3A63">
        <w:rPr>
          <w:rFonts w:ascii="Arial" w:hAnsi="Arial" w:cs="Arial"/>
          <w:lang w:val="en-US"/>
        </w:rPr>
        <w:t>ustain emerging pharmaceutical and medical supply industries in a post Covid-19 era</w:t>
      </w:r>
      <w:r w:rsidR="00866FE1">
        <w:rPr>
          <w:rFonts w:ascii="Arial" w:hAnsi="Arial" w:cs="Arial"/>
          <w:lang w:val="en-US"/>
        </w:rPr>
        <w:t>.</w:t>
      </w:r>
      <w:r w:rsidR="001D3A63" w:rsidRPr="001D3A63">
        <w:rPr>
          <w:rFonts w:ascii="Arial" w:hAnsi="Arial" w:cs="Arial"/>
          <w:lang w:val="en-US"/>
        </w:rPr>
        <w:t xml:space="preserve"> </w:t>
      </w:r>
    </w:p>
    <w:p w14:paraId="722A5C70" w14:textId="7EFFDEBE" w:rsidR="001D3A63" w:rsidRDefault="001D3A63" w:rsidP="00FC40E3">
      <w:pPr>
        <w:pStyle w:val="ListParagraph"/>
        <w:numPr>
          <w:ilvl w:val="0"/>
          <w:numId w:val="13"/>
        </w:numPr>
        <w:jc w:val="both"/>
        <w:rPr>
          <w:rFonts w:ascii="Arial" w:hAnsi="Arial" w:cs="Arial"/>
          <w:lang w:val="en-US"/>
        </w:rPr>
      </w:pPr>
      <w:r w:rsidRPr="001D3A63">
        <w:rPr>
          <w:rFonts w:ascii="Arial" w:hAnsi="Arial" w:cs="Arial"/>
          <w:lang w:val="en-US"/>
        </w:rPr>
        <w:t xml:space="preserve">Leverage </w:t>
      </w:r>
      <w:proofErr w:type="spellStart"/>
      <w:r w:rsidRPr="001D3A63">
        <w:rPr>
          <w:rFonts w:ascii="Arial" w:hAnsi="Arial" w:cs="Arial"/>
          <w:lang w:val="en-US"/>
        </w:rPr>
        <w:t>AfCFTA</w:t>
      </w:r>
      <w:proofErr w:type="spellEnd"/>
      <w:r w:rsidRPr="001D3A63">
        <w:rPr>
          <w:rFonts w:ascii="Arial" w:hAnsi="Arial" w:cs="Arial"/>
          <w:lang w:val="en-US"/>
        </w:rPr>
        <w:t xml:space="preserve"> to strengthen value-addition and industrial growth</w:t>
      </w:r>
      <w:r w:rsidR="00552496">
        <w:rPr>
          <w:rFonts w:ascii="Arial" w:hAnsi="Arial" w:cs="Arial"/>
          <w:lang w:val="en-US"/>
        </w:rPr>
        <w:t xml:space="preserve"> and increas</w:t>
      </w:r>
      <w:r w:rsidR="00756A55">
        <w:rPr>
          <w:rFonts w:ascii="Arial" w:hAnsi="Arial" w:cs="Arial"/>
          <w:lang w:val="en-US"/>
        </w:rPr>
        <w:t xml:space="preserve">e </w:t>
      </w:r>
      <w:r w:rsidR="00552496">
        <w:rPr>
          <w:rFonts w:ascii="Arial" w:hAnsi="Arial" w:cs="Arial"/>
          <w:lang w:val="en-US"/>
        </w:rPr>
        <w:t xml:space="preserve">the role of digitization </w:t>
      </w:r>
      <w:r w:rsidR="00C15281">
        <w:rPr>
          <w:rFonts w:ascii="Arial" w:hAnsi="Arial" w:cs="Arial"/>
          <w:lang w:val="en-US"/>
        </w:rPr>
        <w:t>to</w:t>
      </w:r>
      <w:r w:rsidR="00552496">
        <w:rPr>
          <w:rFonts w:ascii="Arial" w:hAnsi="Arial" w:cs="Arial"/>
          <w:lang w:val="en-US"/>
        </w:rPr>
        <w:t xml:space="preserve"> continue to play an important role in the economies of the region. </w:t>
      </w:r>
    </w:p>
    <w:p w14:paraId="13BD5CEC" w14:textId="77777777" w:rsidR="00D16B4D" w:rsidRPr="00332951" w:rsidRDefault="00D16B4D" w:rsidP="003D5E12">
      <w:pPr>
        <w:pStyle w:val="ListParagraph"/>
        <w:ind w:left="360"/>
        <w:jc w:val="both"/>
        <w:rPr>
          <w:lang w:val="en-US"/>
        </w:rPr>
      </w:pPr>
    </w:p>
    <w:p w14:paraId="6EB39701" w14:textId="77777777" w:rsidR="007C03AB" w:rsidRPr="005A3F76" w:rsidRDefault="0073220E" w:rsidP="008E14D5">
      <w:pPr>
        <w:pStyle w:val="Heading1"/>
        <w:numPr>
          <w:ilvl w:val="0"/>
          <w:numId w:val="10"/>
        </w:numPr>
        <w:spacing w:before="0" w:after="120" w:line="276" w:lineRule="auto"/>
        <w:rPr>
          <w:rFonts w:ascii="Arial" w:hAnsi="Arial" w:cs="Arial"/>
          <w:sz w:val="22"/>
          <w:szCs w:val="22"/>
        </w:rPr>
      </w:pPr>
      <w:bookmarkStart w:id="21" w:name="_Toc70943223"/>
      <w:r w:rsidRPr="005A3F76">
        <w:rPr>
          <w:rFonts w:ascii="Arial" w:hAnsi="Arial" w:cs="Arial"/>
          <w:sz w:val="22"/>
          <w:szCs w:val="22"/>
        </w:rPr>
        <w:t>Risks</w:t>
      </w:r>
      <w:r w:rsidR="004D50BF" w:rsidRPr="005A3F76">
        <w:rPr>
          <w:rFonts w:ascii="Arial" w:hAnsi="Arial" w:cs="Arial"/>
          <w:sz w:val="22"/>
          <w:szCs w:val="22"/>
        </w:rPr>
        <w:t xml:space="preserve"> to Outlook</w:t>
      </w:r>
      <w:bookmarkEnd w:id="21"/>
    </w:p>
    <w:p w14:paraId="7AB4E3AA" w14:textId="0E02E7FE" w:rsidR="009D4BF8" w:rsidRDefault="007C03AB" w:rsidP="005A3F76">
      <w:pPr>
        <w:jc w:val="both"/>
        <w:rPr>
          <w:rFonts w:ascii="Arial" w:hAnsi="Arial" w:cs="Arial"/>
          <w:lang w:val="en-US"/>
        </w:rPr>
      </w:pPr>
      <w:r w:rsidRPr="005A3F76">
        <w:rPr>
          <w:rFonts w:ascii="Arial" w:hAnsi="Arial" w:cs="Arial"/>
          <w:lang w:val="en-US"/>
        </w:rPr>
        <w:t xml:space="preserve">Risks </w:t>
      </w:r>
      <w:r w:rsidR="00955DD4" w:rsidRPr="005A3F76">
        <w:rPr>
          <w:rFonts w:ascii="Arial" w:hAnsi="Arial" w:cs="Arial"/>
          <w:lang w:val="en-US"/>
        </w:rPr>
        <w:t xml:space="preserve">posed by the COVID-19 pandemic </w:t>
      </w:r>
      <w:r w:rsidR="0038074B" w:rsidRPr="005A3F76">
        <w:rPr>
          <w:rFonts w:ascii="Arial" w:hAnsi="Arial" w:cs="Arial"/>
          <w:lang w:val="en-US"/>
        </w:rPr>
        <w:t>are</w:t>
      </w:r>
      <w:r w:rsidR="00955DD4" w:rsidRPr="005A3F76">
        <w:rPr>
          <w:rFonts w:ascii="Arial" w:hAnsi="Arial" w:cs="Arial"/>
          <w:lang w:val="en-US"/>
        </w:rPr>
        <w:t xml:space="preserve"> unprecedented</w:t>
      </w:r>
      <w:r w:rsidR="005A3F76" w:rsidRPr="005A3F76">
        <w:rPr>
          <w:rFonts w:ascii="Arial" w:hAnsi="Arial" w:cs="Arial"/>
          <w:lang w:val="en-US"/>
        </w:rPr>
        <w:t xml:space="preserve">. </w:t>
      </w:r>
      <w:r w:rsidR="00955DD4" w:rsidRPr="005A3F76">
        <w:rPr>
          <w:rFonts w:ascii="Arial" w:hAnsi="Arial" w:cs="Arial"/>
          <w:lang w:val="en-US"/>
        </w:rPr>
        <w:t xml:space="preserve">The crisis is like no other whose impact on the global economy is devastating and still highly uncertain. The real challenge for policy is to </w:t>
      </w:r>
      <w:r w:rsidR="00A652CC" w:rsidRPr="005A3F76">
        <w:rPr>
          <w:rFonts w:ascii="Arial" w:hAnsi="Arial" w:cs="Arial"/>
          <w:lang w:val="en-US"/>
        </w:rPr>
        <w:t>properly assess t</w:t>
      </w:r>
      <w:r w:rsidR="00955DD4" w:rsidRPr="005A3F76">
        <w:rPr>
          <w:rFonts w:ascii="Arial" w:hAnsi="Arial" w:cs="Arial"/>
          <w:lang w:val="en-US"/>
        </w:rPr>
        <w:t xml:space="preserve">he trade-offs between short, medium, and long-term priorities. </w:t>
      </w:r>
      <w:r w:rsidR="00A652CC" w:rsidRPr="005A3F76">
        <w:rPr>
          <w:rFonts w:ascii="Arial" w:hAnsi="Arial" w:cs="Arial"/>
          <w:lang w:val="en-US"/>
        </w:rPr>
        <w:t xml:space="preserve">Different policy interventions will be required </w:t>
      </w:r>
      <w:r w:rsidR="00955DD4" w:rsidRPr="005A3F76">
        <w:rPr>
          <w:rFonts w:ascii="Arial" w:hAnsi="Arial" w:cs="Arial"/>
          <w:lang w:val="en-US"/>
        </w:rPr>
        <w:t>as economies enter the successive phases of crisis-response: surviving the epidemic (ensure adequate resources go to basic needs such as medicine and food, and ensure people’s physical and mental health, as well as safety); getting back to normal (support individuals and firms to resume their activities and repair the damage sustained during the pandemic); and re-focusing on the long term (shift resources and attention to long-term development).</w:t>
      </w:r>
      <w:r w:rsidR="00A652CC" w:rsidRPr="005A3F76">
        <w:rPr>
          <w:rFonts w:ascii="Arial" w:hAnsi="Arial" w:cs="Arial"/>
          <w:lang w:val="en-US"/>
        </w:rPr>
        <w:t xml:space="preserve"> Not getting the policy right in any of these phases poses serious risks to economies</w:t>
      </w:r>
      <w:r w:rsidR="00E344E4" w:rsidRPr="005A3F76">
        <w:rPr>
          <w:rFonts w:ascii="Arial" w:hAnsi="Arial" w:cs="Arial"/>
          <w:lang w:val="en-US"/>
        </w:rPr>
        <w:t xml:space="preserve"> of COMESA member countries</w:t>
      </w:r>
      <w:r w:rsidR="00A652CC" w:rsidRPr="005A3F76">
        <w:rPr>
          <w:rFonts w:ascii="Arial" w:hAnsi="Arial" w:cs="Arial"/>
          <w:lang w:val="en-US"/>
        </w:rPr>
        <w:t>.</w:t>
      </w:r>
      <w:r w:rsidR="00955DD4" w:rsidRPr="005A3F76">
        <w:rPr>
          <w:rFonts w:ascii="Arial" w:hAnsi="Arial" w:cs="Arial"/>
          <w:lang w:val="en-US"/>
        </w:rPr>
        <w:t xml:space="preserve"> </w:t>
      </w:r>
    </w:p>
    <w:p w14:paraId="208AA77C" w14:textId="77777777" w:rsidR="008E14D5" w:rsidRPr="005A3F76" w:rsidRDefault="008E14D5" w:rsidP="005A3F76">
      <w:pPr>
        <w:jc w:val="both"/>
        <w:rPr>
          <w:b/>
          <w:color w:val="0070C0"/>
          <w:lang w:val="en-US" w:eastAsia="en-US" w:bidi="ar-SA"/>
        </w:rPr>
      </w:pPr>
    </w:p>
    <w:p w14:paraId="088EFCF4" w14:textId="77777777" w:rsidR="00C41579" w:rsidRPr="00572F4C" w:rsidRDefault="0073220E" w:rsidP="00572F4C">
      <w:pPr>
        <w:pStyle w:val="Heading1"/>
        <w:spacing w:before="0" w:after="120" w:line="276" w:lineRule="auto"/>
        <w:rPr>
          <w:rFonts w:ascii="Arial" w:hAnsi="Arial" w:cs="Arial"/>
          <w:sz w:val="22"/>
          <w:szCs w:val="22"/>
        </w:rPr>
      </w:pPr>
      <w:bookmarkStart w:id="22" w:name="_Toc70943224"/>
      <w:r w:rsidRPr="00572F4C">
        <w:rPr>
          <w:rFonts w:ascii="Arial" w:hAnsi="Arial" w:cs="Arial"/>
          <w:sz w:val="22"/>
          <w:szCs w:val="22"/>
        </w:rPr>
        <w:t>References</w:t>
      </w:r>
      <w:bookmarkEnd w:id="22"/>
    </w:p>
    <w:p w14:paraId="708ACA6B" w14:textId="77777777" w:rsidR="00A865EB" w:rsidRPr="003D5E12" w:rsidRDefault="00A865EB" w:rsidP="00C57993">
      <w:pPr>
        <w:pStyle w:val="NoSpacing"/>
        <w:jc w:val="both"/>
        <w:rPr>
          <w:b/>
          <w:lang w:val="en-US" w:eastAsia="en-US" w:bidi="ar-SA"/>
        </w:rPr>
      </w:pPr>
    </w:p>
    <w:p w14:paraId="17846A67" w14:textId="48455E23" w:rsidR="003D5E12" w:rsidRDefault="00A865EB" w:rsidP="000324D0">
      <w:pPr>
        <w:pStyle w:val="ListParagraph"/>
        <w:numPr>
          <w:ilvl w:val="0"/>
          <w:numId w:val="3"/>
        </w:numPr>
        <w:spacing w:after="0" w:line="240" w:lineRule="auto"/>
        <w:jc w:val="both"/>
        <w:rPr>
          <w:rFonts w:ascii="Arial" w:hAnsi="Arial" w:cs="Arial"/>
          <w:bCs/>
          <w:lang w:val="en-US" w:eastAsia="en-US" w:bidi="ar-SA"/>
        </w:rPr>
      </w:pPr>
      <w:r w:rsidRPr="003D5E12">
        <w:rPr>
          <w:rFonts w:ascii="Arial" w:hAnsi="Arial" w:cs="Arial"/>
          <w:bCs/>
          <w:lang w:val="en-US" w:eastAsia="en-US" w:bidi="ar-SA"/>
        </w:rPr>
        <w:t xml:space="preserve">IMF REO Sub Saharan Africa </w:t>
      </w:r>
      <w:r w:rsidR="00572F4C">
        <w:rPr>
          <w:rFonts w:ascii="Arial" w:hAnsi="Arial" w:cs="Arial"/>
          <w:bCs/>
          <w:lang w:val="en-US" w:eastAsia="en-US" w:bidi="ar-SA"/>
        </w:rPr>
        <w:t>(</w:t>
      </w:r>
      <w:r w:rsidR="003D5E12">
        <w:rPr>
          <w:rFonts w:ascii="Arial" w:hAnsi="Arial" w:cs="Arial"/>
          <w:bCs/>
          <w:lang w:val="en-US" w:eastAsia="en-US" w:bidi="ar-SA"/>
        </w:rPr>
        <w:t>April</w:t>
      </w:r>
      <w:r w:rsidR="0040655D" w:rsidRPr="003D5E12">
        <w:rPr>
          <w:rFonts w:ascii="Arial" w:hAnsi="Arial" w:cs="Arial"/>
          <w:bCs/>
          <w:lang w:val="en-US" w:eastAsia="en-US" w:bidi="ar-SA"/>
        </w:rPr>
        <w:t xml:space="preserve"> 20</w:t>
      </w:r>
      <w:r w:rsidR="003D5E12">
        <w:rPr>
          <w:rFonts w:ascii="Arial" w:hAnsi="Arial" w:cs="Arial"/>
          <w:bCs/>
          <w:lang w:val="en-US" w:eastAsia="en-US" w:bidi="ar-SA"/>
        </w:rPr>
        <w:t>2</w:t>
      </w:r>
      <w:r w:rsidR="005A3F76">
        <w:rPr>
          <w:rFonts w:ascii="Arial" w:hAnsi="Arial" w:cs="Arial"/>
          <w:bCs/>
          <w:lang w:val="en-US" w:eastAsia="en-US" w:bidi="ar-SA"/>
        </w:rPr>
        <w:t>1</w:t>
      </w:r>
      <w:r w:rsidR="003D5E12">
        <w:rPr>
          <w:rFonts w:ascii="Arial" w:hAnsi="Arial" w:cs="Arial"/>
          <w:bCs/>
          <w:lang w:val="en-US" w:eastAsia="en-US" w:bidi="ar-SA"/>
        </w:rPr>
        <w:t xml:space="preserve">) </w:t>
      </w:r>
    </w:p>
    <w:p w14:paraId="4DF2AAE3" w14:textId="7C09380C" w:rsidR="003D5E12" w:rsidRDefault="003D5E12" w:rsidP="000324D0">
      <w:pPr>
        <w:pStyle w:val="ListParagraph"/>
        <w:numPr>
          <w:ilvl w:val="0"/>
          <w:numId w:val="3"/>
        </w:numPr>
        <w:spacing w:after="0" w:line="240" w:lineRule="auto"/>
        <w:jc w:val="both"/>
        <w:rPr>
          <w:rFonts w:ascii="Arial" w:hAnsi="Arial" w:cs="Arial"/>
          <w:bCs/>
          <w:lang w:val="en-US" w:eastAsia="en-US" w:bidi="ar-SA"/>
        </w:rPr>
      </w:pPr>
      <w:r w:rsidRPr="003D5E12">
        <w:rPr>
          <w:rFonts w:ascii="Arial" w:hAnsi="Arial" w:cs="Arial"/>
          <w:bCs/>
          <w:lang w:val="en-US" w:eastAsia="en-US" w:bidi="ar-SA"/>
        </w:rPr>
        <w:t xml:space="preserve">IMF REO Middle East and Central Asia </w:t>
      </w:r>
      <w:r w:rsidR="00572F4C">
        <w:rPr>
          <w:rFonts w:ascii="Arial" w:hAnsi="Arial" w:cs="Arial"/>
          <w:bCs/>
          <w:lang w:val="en-US" w:eastAsia="en-US" w:bidi="ar-SA"/>
        </w:rPr>
        <w:t>(</w:t>
      </w:r>
      <w:r w:rsidRPr="003D5E12">
        <w:rPr>
          <w:rFonts w:ascii="Arial" w:hAnsi="Arial" w:cs="Arial"/>
          <w:bCs/>
          <w:lang w:val="en-US" w:eastAsia="en-US" w:bidi="ar-SA"/>
        </w:rPr>
        <w:t>April 202</w:t>
      </w:r>
      <w:r w:rsidR="005A3F76">
        <w:rPr>
          <w:rFonts w:ascii="Arial" w:hAnsi="Arial" w:cs="Arial"/>
          <w:bCs/>
          <w:lang w:val="en-US" w:eastAsia="en-US" w:bidi="ar-SA"/>
        </w:rPr>
        <w:t>1</w:t>
      </w:r>
      <w:r w:rsidR="00572F4C">
        <w:rPr>
          <w:rFonts w:ascii="Arial" w:hAnsi="Arial" w:cs="Arial"/>
          <w:bCs/>
          <w:lang w:val="en-US" w:eastAsia="en-US" w:bidi="ar-SA"/>
        </w:rPr>
        <w:t>)</w:t>
      </w:r>
      <w:r w:rsidRPr="003D5E12">
        <w:rPr>
          <w:rFonts w:ascii="Arial" w:hAnsi="Arial" w:cs="Arial"/>
          <w:bCs/>
          <w:lang w:val="en-US" w:eastAsia="en-US" w:bidi="ar-SA"/>
        </w:rPr>
        <w:t xml:space="preserve">; </w:t>
      </w:r>
    </w:p>
    <w:p w14:paraId="7192AC84" w14:textId="77777777" w:rsidR="003D5E12" w:rsidRDefault="003D5E12" w:rsidP="000324D0">
      <w:pPr>
        <w:pStyle w:val="ListParagraph"/>
        <w:numPr>
          <w:ilvl w:val="0"/>
          <w:numId w:val="3"/>
        </w:numPr>
        <w:spacing w:after="0" w:line="240" w:lineRule="auto"/>
        <w:jc w:val="both"/>
        <w:rPr>
          <w:rFonts w:ascii="Arial" w:hAnsi="Arial" w:cs="Arial"/>
          <w:bCs/>
          <w:lang w:val="en-US" w:eastAsia="en-US" w:bidi="ar-SA"/>
        </w:rPr>
      </w:pPr>
      <w:r w:rsidRPr="003D5E12">
        <w:rPr>
          <w:rFonts w:ascii="Arial" w:hAnsi="Arial" w:cs="Arial"/>
          <w:bCs/>
          <w:lang w:val="en-US" w:eastAsia="en-US" w:bidi="ar-SA"/>
        </w:rPr>
        <w:t xml:space="preserve">IMF </w:t>
      </w:r>
      <w:r w:rsidR="00E344E4">
        <w:rPr>
          <w:rFonts w:ascii="Arial" w:hAnsi="Arial" w:cs="Arial"/>
          <w:bCs/>
          <w:lang w:val="en-US" w:eastAsia="en-US" w:bidi="ar-SA"/>
        </w:rPr>
        <w:t xml:space="preserve">Article IV Consultations Staff </w:t>
      </w:r>
      <w:r w:rsidRPr="003D5E12">
        <w:rPr>
          <w:rFonts w:ascii="Arial" w:hAnsi="Arial" w:cs="Arial"/>
          <w:bCs/>
          <w:lang w:val="en-US" w:eastAsia="en-US" w:bidi="ar-SA"/>
        </w:rPr>
        <w:t>Country Reports</w:t>
      </w:r>
    </w:p>
    <w:p w14:paraId="7EF81B69" w14:textId="028181E3" w:rsidR="00C41579" w:rsidRPr="00C54E9A" w:rsidRDefault="00F25F51" w:rsidP="00332951">
      <w:pPr>
        <w:pStyle w:val="ListParagraph"/>
        <w:numPr>
          <w:ilvl w:val="0"/>
          <w:numId w:val="3"/>
        </w:numPr>
        <w:spacing w:after="0" w:line="240" w:lineRule="auto"/>
        <w:jc w:val="both"/>
        <w:rPr>
          <w:lang w:val="en-US"/>
        </w:rPr>
      </w:pPr>
      <w:r w:rsidRPr="00C54E9A">
        <w:rPr>
          <w:rFonts w:ascii="Arial" w:hAnsi="Arial" w:cs="Arial"/>
          <w:bCs/>
          <w:lang w:val="en-US" w:eastAsia="en-US" w:bidi="ar-SA"/>
        </w:rPr>
        <w:t>AfD</w:t>
      </w:r>
      <w:r w:rsidR="00104EC8" w:rsidRPr="00C54E9A">
        <w:rPr>
          <w:rFonts w:ascii="Arial" w:hAnsi="Arial" w:cs="Arial"/>
          <w:bCs/>
          <w:lang w:val="en-US" w:eastAsia="en-US" w:bidi="ar-SA"/>
        </w:rPr>
        <w:t>B</w:t>
      </w:r>
      <w:r w:rsidR="000E4BCE" w:rsidRPr="00C54E9A">
        <w:rPr>
          <w:rFonts w:ascii="Arial" w:hAnsi="Arial" w:cs="Arial"/>
          <w:bCs/>
          <w:lang w:val="en-US" w:eastAsia="en-US" w:bidi="ar-SA"/>
        </w:rPr>
        <w:t xml:space="preserve"> </w:t>
      </w:r>
      <w:r w:rsidR="00A865EB" w:rsidRPr="00C54E9A">
        <w:rPr>
          <w:rFonts w:ascii="Arial" w:hAnsi="Arial" w:cs="Arial"/>
          <w:bCs/>
          <w:lang w:val="en-US" w:eastAsia="en-US" w:bidi="ar-SA"/>
        </w:rPr>
        <w:t xml:space="preserve">African Economic Outlook </w:t>
      </w:r>
      <w:r w:rsidR="003D5E12" w:rsidRPr="00C54E9A">
        <w:rPr>
          <w:rFonts w:ascii="Arial" w:hAnsi="Arial" w:cs="Arial"/>
          <w:bCs/>
          <w:lang w:val="en-US" w:eastAsia="en-US" w:bidi="ar-SA"/>
        </w:rPr>
        <w:t>(</w:t>
      </w:r>
      <w:r w:rsidR="005A3F76">
        <w:rPr>
          <w:rFonts w:ascii="Arial" w:hAnsi="Arial" w:cs="Arial"/>
          <w:bCs/>
          <w:lang w:val="en-US" w:eastAsia="en-US" w:bidi="ar-SA"/>
        </w:rPr>
        <w:t xml:space="preserve">March </w:t>
      </w:r>
      <w:r w:rsidR="00A865EB" w:rsidRPr="00C54E9A">
        <w:rPr>
          <w:rFonts w:ascii="Arial" w:hAnsi="Arial" w:cs="Arial"/>
          <w:bCs/>
          <w:lang w:val="en-US" w:eastAsia="en-US" w:bidi="ar-SA"/>
        </w:rPr>
        <w:t>20</w:t>
      </w:r>
      <w:r w:rsidR="003D5E12" w:rsidRPr="00C54E9A">
        <w:rPr>
          <w:rFonts w:ascii="Arial" w:hAnsi="Arial" w:cs="Arial"/>
          <w:bCs/>
          <w:lang w:val="en-US" w:eastAsia="en-US" w:bidi="ar-SA"/>
        </w:rPr>
        <w:t>2</w:t>
      </w:r>
      <w:r w:rsidR="005A3F76">
        <w:rPr>
          <w:rFonts w:ascii="Arial" w:hAnsi="Arial" w:cs="Arial"/>
          <w:bCs/>
          <w:lang w:val="en-US" w:eastAsia="en-US" w:bidi="ar-SA"/>
        </w:rPr>
        <w:t>1</w:t>
      </w:r>
      <w:r w:rsidR="003D5E12" w:rsidRPr="00C54E9A">
        <w:rPr>
          <w:rFonts w:ascii="Arial" w:hAnsi="Arial" w:cs="Arial"/>
          <w:bCs/>
          <w:lang w:val="en-US" w:eastAsia="en-US" w:bidi="ar-SA"/>
        </w:rPr>
        <w:t>)</w:t>
      </w:r>
    </w:p>
    <w:p w14:paraId="0F408F3F" w14:textId="77777777" w:rsidR="00C41579" w:rsidRPr="00B6509D" w:rsidRDefault="00C41579" w:rsidP="00C57993">
      <w:pPr>
        <w:pStyle w:val="NoSpacing"/>
        <w:jc w:val="both"/>
        <w:rPr>
          <w:lang w:val="en-US"/>
        </w:rPr>
      </w:pPr>
    </w:p>
    <w:sectPr w:rsidR="00C41579" w:rsidRPr="00B6509D" w:rsidSect="00A705E7">
      <w:pgSz w:w="11906" w:h="16838"/>
      <w:pgMar w:top="1259" w:right="1259" w:bottom="1259" w:left="1259"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6DFE0" w14:textId="77777777" w:rsidR="00651CEC" w:rsidRDefault="00651CEC" w:rsidP="003A54A5">
      <w:pPr>
        <w:spacing w:after="0" w:line="240" w:lineRule="auto"/>
      </w:pPr>
      <w:r>
        <w:separator/>
      </w:r>
    </w:p>
  </w:endnote>
  <w:endnote w:type="continuationSeparator" w:id="0">
    <w:p w14:paraId="29E422BC" w14:textId="77777777" w:rsidR="00651CEC" w:rsidRDefault="00651CEC" w:rsidP="003A5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50311"/>
      <w:docPartObj>
        <w:docPartGallery w:val="Page Numbers (Bottom of Page)"/>
        <w:docPartUnique/>
      </w:docPartObj>
    </w:sdtPr>
    <w:sdtEndPr>
      <w:rPr>
        <w:color w:val="7F7F7F" w:themeColor="background1" w:themeShade="7F"/>
        <w:spacing w:val="60"/>
      </w:rPr>
    </w:sdtEndPr>
    <w:sdtContent>
      <w:p w14:paraId="287A58EB" w14:textId="74ED2B31" w:rsidR="00C20F41" w:rsidRDefault="00C20F4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4523D" w:rsidRPr="0054523D">
          <w:rPr>
            <w:b/>
            <w:bCs/>
            <w:noProof/>
          </w:rPr>
          <w:t>8</w:t>
        </w:r>
        <w:r>
          <w:rPr>
            <w:b/>
            <w:bCs/>
            <w:noProof/>
          </w:rPr>
          <w:fldChar w:fldCharType="end"/>
        </w:r>
        <w:r>
          <w:rPr>
            <w:b/>
            <w:bCs/>
          </w:rPr>
          <w:t xml:space="preserve"> | </w:t>
        </w:r>
        <w:r>
          <w:rPr>
            <w:color w:val="7F7F7F" w:themeColor="background1" w:themeShade="7F"/>
            <w:spacing w:val="60"/>
          </w:rPr>
          <w:t>Page</w:t>
        </w:r>
      </w:p>
    </w:sdtContent>
  </w:sdt>
  <w:p w14:paraId="3F1045B3" w14:textId="77777777" w:rsidR="00C20F41" w:rsidRDefault="00C20F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570518"/>
      <w:docPartObj>
        <w:docPartGallery w:val="Page Numbers (Bottom of Page)"/>
        <w:docPartUnique/>
      </w:docPartObj>
    </w:sdtPr>
    <w:sdtEndPr>
      <w:rPr>
        <w:color w:val="7F7F7F" w:themeColor="background1" w:themeShade="7F"/>
        <w:spacing w:val="60"/>
      </w:rPr>
    </w:sdtEndPr>
    <w:sdtContent>
      <w:p w14:paraId="386F6CD2" w14:textId="3869DD0D" w:rsidR="00C20F41" w:rsidRDefault="00C20F4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4523D" w:rsidRPr="0054523D">
          <w:rPr>
            <w:b/>
            <w:bCs/>
            <w:noProof/>
          </w:rPr>
          <w:t>7</w:t>
        </w:r>
        <w:r>
          <w:rPr>
            <w:b/>
            <w:bCs/>
            <w:noProof/>
          </w:rPr>
          <w:fldChar w:fldCharType="end"/>
        </w:r>
        <w:r>
          <w:rPr>
            <w:b/>
            <w:bCs/>
          </w:rPr>
          <w:t xml:space="preserve"> | </w:t>
        </w:r>
        <w:r>
          <w:rPr>
            <w:color w:val="7F7F7F" w:themeColor="background1" w:themeShade="7F"/>
            <w:spacing w:val="60"/>
          </w:rPr>
          <w:t>Page</w:t>
        </w:r>
      </w:p>
    </w:sdtContent>
  </w:sdt>
  <w:p w14:paraId="4460F8B4" w14:textId="77777777" w:rsidR="00C20F41" w:rsidRDefault="00C20F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050555"/>
      <w:docPartObj>
        <w:docPartGallery w:val="Page Numbers (Bottom of Page)"/>
        <w:docPartUnique/>
      </w:docPartObj>
    </w:sdtPr>
    <w:sdtEndPr>
      <w:rPr>
        <w:color w:val="7F7F7F" w:themeColor="background1" w:themeShade="7F"/>
        <w:spacing w:val="60"/>
      </w:rPr>
    </w:sdtEndPr>
    <w:sdtContent>
      <w:p w14:paraId="30ABE83D" w14:textId="709A02BE" w:rsidR="00C20F41" w:rsidRDefault="00C20F4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4523D" w:rsidRPr="0054523D">
          <w:rPr>
            <w:b/>
            <w:bCs/>
            <w:noProof/>
          </w:rPr>
          <w:t>1</w:t>
        </w:r>
        <w:r>
          <w:rPr>
            <w:b/>
            <w:bCs/>
            <w:noProof/>
          </w:rPr>
          <w:fldChar w:fldCharType="end"/>
        </w:r>
        <w:r>
          <w:rPr>
            <w:b/>
            <w:bCs/>
          </w:rPr>
          <w:t xml:space="preserve"> | </w:t>
        </w:r>
        <w:r>
          <w:rPr>
            <w:color w:val="7F7F7F" w:themeColor="background1" w:themeShade="7F"/>
            <w:spacing w:val="60"/>
          </w:rPr>
          <w:t>Page</w:t>
        </w:r>
      </w:p>
    </w:sdtContent>
  </w:sdt>
  <w:p w14:paraId="629D3CD7" w14:textId="77777777" w:rsidR="00C20F41" w:rsidRDefault="00C20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A7944" w14:textId="77777777" w:rsidR="00651CEC" w:rsidRDefault="00651CEC" w:rsidP="003A54A5">
      <w:pPr>
        <w:spacing w:after="0" w:line="240" w:lineRule="auto"/>
      </w:pPr>
      <w:r>
        <w:separator/>
      </w:r>
    </w:p>
  </w:footnote>
  <w:footnote w:type="continuationSeparator" w:id="0">
    <w:p w14:paraId="6093144A" w14:textId="77777777" w:rsidR="00651CEC" w:rsidRDefault="00651CEC" w:rsidP="003A54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A6396"/>
    <w:multiLevelType w:val="hybridMultilevel"/>
    <w:tmpl w:val="13644E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BB51C8"/>
    <w:multiLevelType w:val="hybridMultilevel"/>
    <w:tmpl w:val="9500A3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03786E"/>
    <w:multiLevelType w:val="hybridMultilevel"/>
    <w:tmpl w:val="BBBCADDC"/>
    <w:lvl w:ilvl="0" w:tplc="01AA2B40">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2444786"/>
    <w:multiLevelType w:val="hybridMultilevel"/>
    <w:tmpl w:val="1F14A0C2"/>
    <w:lvl w:ilvl="0" w:tplc="F6DAC878">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31C106B5"/>
    <w:multiLevelType w:val="hybridMultilevel"/>
    <w:tmpl w:val="DCD8F05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327200F9"/>
    <w:multiLevelType w:val="hybridMultilevel"/>
    <w:tmpl w:val="21D8B72E"/>
    <w:lvl w:ilvl="0" w:tplc="EE302AB8">
      <w:start w:val="1"/>
      <w:numFmt w:val="lowerLetter"/>
      <w:lvlText w:val="%1)"/>
      <w:lvlJc w:val="left"/>
      <w:pPr>
        <w:ind w:left="990" w:hanging="360"/>
      </w:pPr>
      <w:rPr>
        <w:rFonts w:hint="default"/>
      </w:rPr>
    </w:lvl>
    <w:lvl w:ilvl="1" w:tplc="08090019">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6" w15:restartNumberingAfterBreak="0">
    <w:nsid w:val="37770AC8"/>
    <w:multiLevelType w:val="hybridMultilevel"/>
    <w:tmpl w:val="A412EC50"/>
    <w:lvl w:ilvl="0" w:tplc="3DCAC850">
      <w:start w:val="1"/>
      <w:numFmt w:val="upperLetter"/>
      <w:lvlText w:val="%1."/>
      <w:lvlJc w:val="left"/>
      <w:pPr>
        <w:ind w:left="63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3C264A30"/>
    <w:multiLevelType w:val="hybridMultilevel"/>
    <w:tmpl w:val="3222A6F4"/>
    <w:lvl w:ilvl="0" w:tplc="920E9626">
      <w:start w:val="1"/>
      <w:numFmt w:val="decimal"/>
      <w:lvlText w:val="%1."/>
      <w:lvlJc w:val="left"/>
      <w:pPr>
        <w:ind w:left="360" w:hanging="360"/>
      </w:pPr>
      <w:rPr>
        <w:rFonts w:hint="default"/>
        <w:b/>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4A4B58"/>
    <w:multiLevelType w:val="hybridMultilevel"/>
    <w:tmpl w:val="531CEB9A"/>
    <w:lvl w:ilvl="0" w:tplc="630653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F16523"/>
    <w:multiLevelType w:val="hybridMultilevel"/>
    <w:tmpl w:val="C79E9DEA"/>
    <w:lvl w:ilvl="0" w:tplc="2F22A3CE">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426C6427"/>
    <w:multiLevelType w:val="hybridMultilevel"/>
    <w:tmpl w:val="EA3A64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297534B"/>
    <w:multiLevelType w:val="hybridMultilevel"/>
    <w:tmpl w:val="21D8B72E"/>
    <w:lvl w:ilvl="0" w:tplc="EE302AB8">
      <w:start w:val="1"/>
      <w:numFmt w:val="lowerLetter"/>
      <w:lvlText w:val="%1)"/>
      <w:lvlJc w:val="left"/>
      <w:pPr>
        <w:ind w:left="990" w:hanging="360"/>
      </w:pPr>
      <w:rPr>
        <w:rFonts w:hint="default"/>
      </w:rPr>
    </w:lvl>
    <w:lvl w:ilvl="1" w:tplc="08090019">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2" w15:restartNumberingAfterBreak="0">
    <w:nsid w:val="4BF70533"/>
    <w:multiLevelType w:val="hybridMultilevel"/>
    <w:tmpl w:val="EF10E522"/>
    <w:lvl w:ilvl="0" w:tplc="3A04258C">
      <w:start w:val="2"/>
      <w:numFmt w:val="decimal"/>
      <w:lvlText w:val="%1"/>
      <w:lvlJc w:val="left"/>
      <w:pPr>
        <w:ind w:left="630" w:hanging="360"/>
      </w:pPr>
      <w:rPr>
        <w:rFonts w:hint="default"/>
      </w:rPr>
    </w:lvl>
    <w:lvl w:ilvl="1" w:tplc="08090019">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3" w15:restartNumberingAfterBreak="0">
    <w:nsid w:val="53D022B8"/>
    <w:multiLevelType w:val="hybridMultilevel"/>
    <w:tmpl w:val="ECA8A3F6"/>
    <w:lvl w:ilvl="0" w:tplc="FBA6D8CE">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4" w15:restartNumberingAfterBreak="0">
    <w:nsid w:val="7BBE7877"/>
    <w:multiLevelType w:val="hybridMultilevel"/>
    <w:tmpl w:val="EF10E522"/>
    <w:lvl w:ilvl="0" w:tplc="3A04258C">
      <w:start w:val="2"/>
      <w:numFmt w:val="decimal"/>
      <w:lvlText w:val="%1"/>
      <w:lvlJc w:val="left"/>
      <w:pPr>
        <w:ind w:left="630" w:hanging="360"/>
      </w:pPr>
      <w:rPr>
        <w:rFonts w:hint="default"/>
      </w:rPr>
    </w:lvl>
    <w:lvl w:ilvl="1" w:tplc="08090019">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num w:numId="1">
    <w:abstractNumId w:val="10"/>
  </w:num>
  <w:num w:numId="2">
    <w:abstractNumId w:val="0"/>
  </w:num>
  <w:num w:numId="3">
    <w:abstractNumId w:val="4"/>
  </w:num>
  <w:num w:numId="4">
    <w:abstractNumId w:val="6"/>
  </w:num>
  <w:num w:numId="5">
    <w:abstractNumId w:val="9"/>
  </w:num>
  <w:num w:numId="6">
    <w:abstractNumId w:val="8"/>
  </w:num>
  <w:num w:numId="7">
    <w:abstractNumId w:val="7"/>
  </w:num>
  <w:num w:numId="8">
    <w:abstractNumId w:val="2"/>
  </w:num>
  <w:num w:numId="9">
    <w:abstractNumId w:val="3"/>
  </w:num>
  <w:num w:numId="10">
    <w:abstractNumId w:val="12"/>
  </w:num>
  <w:num w:numId="11">
    <w:abstractNumId w:val="13"/>
  </w:num>
  <w:num w:numId="12">
    <w:abstractNumId w:val="11"/>
  </w:num>
  <w:num w:numId="13">
    <w:abstractNumId w:val="5"/>
  </w:num>
  <w:num w:numId="14">
    <w:abstractNumId w:val="1"/>
  </w:num>
  <w:num w:numId="1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yB5OmJqbGxuZKOkrBqcXFmfl5IAWGtQD8t0moLAAAAA=="/>
  </w:docVars>
  <w:rsids>
    <w:rsidRoot w:val="00884593"/>
    <w:rsid w:val="00000494"/>
    <w:rsid w:val="000019FB"/>
    <w:rsid w:val="00001AC8"/>
    <w:rsid w:val="000025C3"/>
    <w:rsid w:val="000029FD"/>
    <w:rsid w:val="000045A4"/>
    <w:rsid w:val="00010970"/>
    <w:rsid w:val="0001131A"/>
    <w:rsid w:val="000138AA"/>
    <w:rsid w:val="00013E37"/>
    <w:rsid w:val="0001446F"/>
    <w:rsid w:val="00016247"/>
    <w:rsid w:val="00016D17"/>
    <w:rsid w:val="000175CE"/>
    <w:rsid w:val="00020F0E"/>
    <w:rsid w:val="00022B3A"/>
    <w:rsid w:val="00022EC0"/>
    <w:rsid w:val="000236E7"/>
    <w:rsid w:val="00023E1A"/>
    <w:rsid w:val="00025873"/>
    <w:rsid w:val="0002606A"/>
    <w:rsid w:val="00027368"/>
    <w:rsid w:val="00027EFA"/>
    <w:rsid w:val="000304A6"/>
    <w:rsid w:val="000307EA"/>
    <w:rsid w:val="000324D0"/>
    <w:rsid w:val="0003271E"/>
    <w:rsid w:val="000339A7"/>
    <w:rsid w:val="000339FD"/>
    <w:rsid w:val="0003504E"/>
    <w:rsid w:val="00037A20"/>
    <w:rsid w:val="00040115"/>
    <w:rsid w:val="00040BB8"/>
    <w:rsid w:val="00040DF5"/>
    <w:rsid w:val="00042759"/>
    <w:rsid w:val="00043844"/>
    <w:rsid w:val="00043C54"/>
    <w:rsid w:val="000450BB"/>
    <w:rsid w:val="00045CD5"/>
    <w:rsid w:val="00046808"/>
    <w:rsid w:val="00051D0A"/>
    <w:rsid w:val="0005404F"/>
    <w:rsid w:val="00054719"/>
    <w:rsid w:val="000553F4"/>
    <w:rsid w:val="00055F7A"/>
    <w:rsid w:val="0006120B"/>
    <w:rsid w:val="00064FEB"/>
    <w:rsid w:val="00065A9A"/>
    <w:rsid w:val="00072EDE"/>
    <w:rsid w:val="00073B3D"/>
    <w:rsid w:val="0007622E"/>
    <w:rsid w:val="00077800"/>
    <w:rsid w:val="000800A5"/>
    <w:rsid w:val="00080A38"/>
    <w:rsid w:val="00084E1B"/>
    <w:rsid w:val="00085E1C"/>
    <w:rsid w:val="00086E4F"/>
    <w:rsid w:val="0008724D"/>
    <w:rsid w:val="000878D9"/>
    <w:rsid w:val="0009292D"/>
    <w:rsid w:val="00094722"/>
    <w:rsid w:val="00094A58"/>
    <w:rsid w:val="000961A3"/>
    <w:rsid w:val="000A0BB8"/>
    <w:rsid w:val="000A2EA4"/>
    <w:rsid w:val="000A35BA"/>
    <w:rsid w:val="000A3E8F"/>
    <w:rsid w:val="000A4CE4"/>
    <w:rsid w:val="000A63C3"/>
    <w:rsid w:val="000A66FF"/>
    <w:rsid w:val="000B38CC"/>
    <w:rsid w:val="000B474D"/>
    <w:rsid w:val="000B5D72"/>
    <w:rsid w:val="000B626A"/>
    <w:rsid w:val="000C1F8C"/>
    <w:rsid w:val="000C3592"/>
    <w:rsid w:val="000C43A7"/>
    <w:rsid w:val="000C5A78"/>
    <w:rsid w:val="000C7F66"/>
    <w:rsid w:val="000D50E9"/>
    <w:rsid w:val="000D5C4D"/>
    <w:rsid w:val="000D71DF"/>
    <w:rsid w:val="000D7BE5"/>
    <w:rsid w:val="000E033E"/>
    <w:rsid w:val="000E2A0D"/>
    <w:rsid w:val="000E2CE5"/>
    <w:rsid w:val="000E4BCE"/>
    <w:rsid w:val="000F0B11"/>
    <w:rsid w:val="000F1AA3"/>
    <w:rsid w:val="000F3BB9"/>
    <w:rsid w:val="000F46E9"/>
    <w:rsid w:val="000F574B"/>
    <w:rsid w:val="000F67BA"/>
    <w:rsid w:val="001006CB"/>
    <w:rsid w:val="00100826"/>
    <w:rsid w:val="00103F9B"/>
    <w:rsid w:val="0010458B"/>
    <w:rsid w:val="00104EC8"/>
    <w:rsid w:val="001052C2"/>
    <w:rsid w:val="0010549A"/>
    <w:rsid w:val="001076FB"/>
    <w:rsid w:val="0011098A"/>
    <w:rsid w:val="00114D30"/>
    <w:rsid w:val="001176D2"/>
    <w:rsid w:val="0011772B"/>
    <w:rsid w:val="00117B01"/>
    <w:rsid w:val="00120BC1"/>
    <w:rsid w:val="00121CE3"/>
    <w:rsid w:val="00121E86"/>
    <w:rsid w:val="001225B6"/>
    <w:rsid w:val="00123587"/>
    <w:rsid w:val="001244E4"/>
    <w:rsid w:val="00126745"/>
    <w:rsid w:val="001324FC"/>
    <w:rsid w:val="00134EBB"/>
    <w:rsid w:val="001357B8"/>
    <w:rsid w:val="00136107"/>
    <w:rsid w:val="00136171"/>
    <w:rsid w:val="00141DF3"/>
    <w:rsid w:val="00141EC4"/>
    <w:rsid w:val="001424BE"/>
    <w:rsid w:val="001448B5"/>
    <w:rsid w:val="001469CA"/>
    <w:rsid w:val="00147387"/>
    <w:rsid w:val="0014750E"/>
    <w:rsid w:val="00151FD9"/>
    <w:rsid w:val="0015217F"/>
    <w:rsid w:val="001631B1"/>
    <w:rsid w:val="00163282"/>
    <w:rsid w:val="00172BCC"/>
    <w:rsid w:val="00173E16"/>
    <w:rsid w:val="00174F4C"/>
    <w:rsid w:val="00177380"/>
    <w:rsid w:val="00181439"/>
    <w:rsid w:val="00181FAA"/>
    <w:rsid w:val="00182767"/>
    <w:rsid w:val="00185493"/>
    <w:rsid w:val="00190D46"/>
    <w:rsid w:val="00194379"/>
    <w:rsid w:val="00194FE1"/>
    <w:rsid w:val="00195E39"/>
    <w:rsid w:val="001A37BA"/>
    <w:rsid w:val="001A42FE"/>
    <w:rsid w:val="001A44F6"/>
    <w:rsid w:val="001A4F78"/>
    <w:rsid w:val="001A7612"/>
    <w:rsid w:val="001B506E"/>
    <w:rsid w:val="001C2C48"/>
    <w:rsid w:val="001C4475"/>
    <w:rsid w:val="001C44EF"/>
    <w:rsid w:val="001C4564"/>
    <w:rsid w:val="001C46DD"/>
    <w:rsid w:val="001C4730"/>
    <w:rsid w:val="001C4B62"/>
    <w:rsid w:val="001D242A"/>
    <w:rsid w:val="001D287C"/>
    <w:rsid w:val="001D3A63"/>
    <w:rsid w:val="001D4615"/>
    <w:rsid w:val="001D5949"/>
    <w:rsid w:val="001D61F7"/>
    <w:rsid w:val="001D7205"/>
    <w:rsid w:val="001D7292"/>
    <w:rsid w:val="001E235F"/>
    <w:rsid w:val="001E2667"/>
    <w:rsid w:val="001E2B01"/>
    <w:rsid w:val="001E2E7F"/>
    <w:rsid w:val="001E5864"/>
    <w:rsid w:val="001E6D9F"/>
    <w:rsid w:val="001E7323"/>
    <w:rsid w:val="001F1D62"/>
    <w:rsid w:val="001F4D1E"/>
    <w:rsid w:val="001F4FAE"/>
    <w:rsid w:val="001F5D1C"/>
    <w:rsid w:val="001F6616"/>
    <w:rsid w:val="001F7C96"/>
    <w:rsid w:val="00202013"/>
    <w:rsid w:val="0020340B"/>
    <w:rsid w:val="00204255"/>
    <w:rsid w:val="002062EF"/>
    <w:rsid w:val="002078CA"/>
    <w:rsid w:val="00210A33"/>
    <w:rsid w:val="002116FC"/>
    <w:rsid w:val="00211E1F"/>
    <w:rsid w:val="002128DF"/>
    <w:rsid w:val="00213056"/>
    <w:rsid w:val="00213679"/>
    <w:rsid w:val="00213854"/>
    <w:rsid w:val="002174D5"/>
    <w:rsid w:val="00220271"/>
    <w:rsid w:val="00220B44"/>
    <w:rsid w:val="00225954"/>
    <w:rsid w:val="0022707D"/>
    <w:rsid w:val="00227EB3"/>
    <w:rsid w:val="0023427B"/>
    <w:rsid w:val="002343ED"/>
    <w:rsid w:val="00235581"/>
    <w:rsid w:val="00237274"/>
    <w:rsid w:val="00241608"/>
    <w:rsid w:val="00242AAD"/>
    <w:rsid w:val="00244362"/>
    <w:rsid w:val="002469A1"/>
    <w:rsid w:val="00255465"/>
    <w:rsid w:val="00255653"/>
    <w:rsid w:val="00256074"/>
    <w:rsid w:val="002613BF"/>
    <w:rsid w:val="00262CFD"/>
    <w:rsid w:val="00265A98"/>
    <w:rsid w:val="002762C7"/>
    <w:rsid w:val="00276CDC"/>
    <w:rsid w:val="0027791B"/>
    <w:rsid w:val="002800E7"/>
    <w:rsid w:val="0028271E"/>
    <w:rsid w:val="00282D9D"/>
    <w:rsid w:val="002845F6"/>
    <w:rsid w:val="0028705D"/>
    <w:rsid w:val="002874B7"/>
    <w:rsid w:val="00290A50"/>
    <w:rsid w:val="00291431"/>
    <w:rsid w:val="00291DD8"/>
    <w:rsid w:val="00291DE2"/>
    <w:rsid w:val="00293964"/>
    <w:rsid w:val="00293A5A"/>
    <w:rsid w:val="00295280"/>
    <w:rsid w:val="00295D8E"/>
    <w:rsid w:val="00296BC3"/>
    <w:rsid w:val="002A0BD8"/>
    <w:rsid w:val="002A302B"/>
    <w:rsid w:val="002A4A9D"/>
    <w:rsid w:val="002A5CBC"/>
    <w:rsid w:val="002A694F"/>
    <w:rsid w:val="002A7620"/>
    <w:rsid w:val="002A78A0"/>
    <w:rsid w:val="002B1EE9"/>
    <w:rsid w:val="002B20D3"/>
    <w:rsid w:val="002B5605"/>
    <w:rsid w:val="002B5740"/>
    <w:rsid w:val="002B7194"/>
    <w:rsid w:val="002B7CB7"/>
    <w:rsid w:val="002C20DD"/>
    <w:rsid w:val="002C23E1"/>
    <w:rsid w:val="002C3153"/>
    <w:rsid w:val="002C3EB9"/>
    <w:rsid w:val="002C53A9"/>
    <w:rsid w:val="002C63B7"/>
    <w:rsid w:val="002C79A0"/>
    <w:rsid w:val="002D0580"/>
    <w:rsid w:val="002D2B54"/>
    <w:rsid w:val="002D2D79"/>
    <w:rsid w:val="002D32F5"/>
    <w:rsid w:val="002D3CE1"/>
    <w:rsid w:val="002D498F"/>
    <w:rsid w:val="002D79BE"/>
    <w:rsid w:val="002E1CD9"/>
    <w:rsid w:val="002E3542"/>
    <w:rsid w:val="002E37F5"/>
    <w:rsid w:val="002E4F30"/>
    <w:rsid w:val="002E6142"/>
    <w:rsid w:val="002E6AEB"/>
    <w:rsid w:val="002F1CE0"/>
    <w:rsid w:val="002F301F"/>
    <w:rsid w:val="002F357C"/>
    <w:rsid w:val="002F3AE2"/>
    <w:rsid w:val="003011B5"/>
    <w:rsid w:val="00302867"/>
    <w:rsid w:val="0030356E"/>
    <w:rsid w:val="00310CAB"/>
    <w:rsid w:val="00313D55"/>
    <w:rsid w:val="003145ED"/>
    <w:rsid w:val="00315626"/>
    <w:rsid w:val="00315911"/>
    <w:rsid w:val="003209D5"/>
    <w:rsid w:val="00324D6F"/>
    <w:rsid w:val="00327D11"/>
    <w:rsid w:val="00327D22"/>
    <w:rsid w:val="0033022C"/>
    <w:rsid w:val="003317FC"/>
    <w:rsid w:val="00332951"/>
    <w:rsid w:val="00332E79"/>
    <w:rsid w:val="003334DF"/>
    <w:rsid w:val="00333C6A"/>
    <w:rsid w:val="0033531B"/>
    <w:rsid w:val="003404EA"/>
    <w:rsid w:val="0034072D"/>
    <w:rsid w:val="00341575"/>
    <w:rsid w:val="00342C99"/>
    <w:rsid w:val="003468D9"/>
    <w:rsid w:val="00347E6A"/>
    <w:rsid w:val="00351FB8"/>
    <w:rsid w:val="00352529"/>
    <w:rsid w:val="00355C63"/>
    <w:rsid w:val="003567EA"/>
    <w:rsid w:val="0036000E"/>
    <w:rsid w:val="00360165"/>
    <w:rsid w:val="0036097E"/>
    <w:rsid w:val="00360DF1"/>
    <w:rsid w:val="00360FEC"/>
    <w:rsid w:val="00361C86"/>
    <w:rsid w:val="003634A2"/>
    <w:rsid w:val="00363747"/>
    <w:rsid w:val="00370940"/>
    <w:rsid w:val="00371457"/>
    <w:rsid w:val="003732A6"/>
    <w:rsid w:val="003732FA"/>
    <w:rsid w:val="003736E7"/>
    <w:rsid w:val="00374D4C"/>
    <w:rsid w:val="00376987"/>
    <w:rsid w:val="0038074B"/>
    <w:rsid w:val="00380C2F"/>
    <w:rsid w:val="003851ED"/>
    <w:rsid w:val="0038541F"/>
    <w:rsid w:val="00385EA0"/>
    <w:rsid w:val="00391A98"/>
    <w:rsid w:val="00392EBA"/>
    <w:rsid w:val="0039504E"/>
    <w:rsid w:val="003958B9"/>
    <w:rsid w:val="0039737B"/>
    <w:rsid w:val="003A34D8"/>
    <w:rsid w:val="003A3790"/>
    <w:rsid w:val="003A54A5"/>
    <w:rsid w:val="003A5BE6"/>
    <w:rsid w:val="003B017E"/>
    <w:rsid w:val="003B2D80"/>
    <w:rsid w:val="003B338A"/>
    <w:rsid w:val="003B3768"/>
    <w:rsid w:val="003B7E37"/>
    <w:rsid w:val="003C10E3"/>
    <w:rsid w:val="003C2E04"/>
    <w:rsid w:val="003C367B"/>
    <w:rsid w:val="003C4276"/>
    <w:rsid w:val="003D0A91"/>
    <w:rsid w:val="003D2210"/>
    <w:rsid w:val="003D2F8C"/>
    <w:rsid w:val="003D3BE7"/>
    <w:rsid w:val="003D43C3"/>
    <w:rsid w:val="003D5E12"/>
    <w:rsid w:val="003E02ED"/>
    <w:rsid w:val="003E1823"/>
    <w:rsid w:val="003E38AE"/>
    <w:rsid w:val="003E7C26"/>
    <w:rsid w:val="003F1AE5"/>
    <w:rsid w:val="003F29D2"/>
    <w:rsid w:val="003F3F71"/>
    <w:rsid w:val="003F6264"/>
    <w:rsid w:val="004040BC"/>
    <w:rsid w:val="00405587"/>
    <w:rsid w:val="0040655D"/>
    <w:rsid w:val="00413567"/>
    <w:rsid w:val="0041409F"/>
    <w:rsid w:val="00415D60"/>
    <w:rsid w:val="0041663A"/>
    <w:rsid w:val="004167BF"/>
    <w:rsid w:val="004200AB"/>
    <w:rsid w:val="00420B30"/>
    <w:rsid w:val="00423702"/>
    <w:rsid w:val="00423B03"/>
    <w:rsid w:val="00424946"/>
    <w:rsid w:val="0042500C"/>
    <w:rsid w:val="00427763"/>
    <w:rsid w:val="004301EA"/>
    <w:rsid w:val="00431E73"/>
    <w:rsid w:val="00436B75"/>
    <w:rsid w:val="004373B2"/>
    <w:rsid w:val="00437F91"/>
    <w:rsid w:val="00442807"/>
    <w:rsid w:val="00444D24"/>
    <w:rsid w:val="00445073"/>
    <w:rsid w:val="00447C4F"/>
    <w:rsid w:val="00447C81"/>
    <w:rsid w:val="0045066A"/>
    <w:rsid w:val="004518A1"/>
    <w:rsid w:val="00451DE2"/>
    <w:rsid w:val="00453492"/>
    <w:rsid w:val="00455219"/>
    <w:rsid w:val="004565D5"/>
    <w:rsid w:val="0045727B"/>
    <w:rsid w:val="00461091"/>
    <w:rsid w:val="0046122B"/>
    <w:rsid w:val="004623BD"/>
    <w:rsid w:val="00463214"/>
    <w:rsid w:val="00464044"/>
    <w:rsid w:val="00466494"/>
    <w:rsid w:val="0046654A"/>
    <w:rsid w:val="0046685D"/>
    <w:rsid w:val="00466D72"/>
    <w:rsid w:val="00466E43"/>
    <w:rsid w:val="00467D11"/>
    <w:rsid w:val="004721BB"/>
    <w:rsid w:val="00473249"/>
    <w:rsid w:val="00473396"/>
    <w:rsid w:val="00476761"/>
    <w:rsid w:val="00477DF6"/>
    <w:rsid w:val="00477E6D"/>
    <w:rsid w:val="00480326"/>
    <w:rsid w:val="0048083B"/>
    <w:rsid w:val="00480F7A"/>
    <w:rsid w:val="0048200F"/>
    <w:rsid w:val="004851B9"/>
    <w:rsid w:val="00486DFA"/>
    <w:rsid w:val="00487518"/>
    <w:rsid w:val="0049499E"/>
    <w:rsid w:val="00497320"/>
    <w:rsid w:val="004A02B1"/>
    <w:rsid w:val="004A05A2"/>
    <w:rsid w:val="004A0E4C"/>
    <w:rsid w:val="004A2053"/>
    <w:rsid w:val="004A56D4"/>
    <w:rsid w:val="004A666E"/>
    <w:rsid w:val="004A6D93"/>
    <w:rsid w:val="004B1979"/>
    <w:rsid w:val="004B218C"/>
    <w:rsid w:val="004B4D8E"/>
    <w:rsid w:val="004B5332"/>
    <w:rsid w:val="004B6540"/>
    <w:rsid w:val="004B7018"/>
    <w:rsid w:val="004C07F8"/>
    <w:rsid w:val="004C194C"/>
    <w:rsid w:val="004C36C5"/>
    <w:rsid w:val="004C3D8D"/>
    <w:rsid w:val="004C481E"/>
    <w:rsid w:val="004C6F8E"/>
    <w:rsid w:val="004D2634"/>
    <w:rsid w:val="004D3D65"/>
    <w:rsid w:val="004D3D6D"/>
    <w:rsid w:val="004D4A68"/>
    <w:rsid w:val="004D50BF"/>
    <w:rsid w:val="004D7915"/>
    <w:rsid w:val="004E29E1"/>
    <w:rsid w:val="004E3B25"/>
    <w:rsid w:val="004E7F16"/>
    <w:rsid w:val="004F140E"/>
    <w:rsid w:val="004F2B6D"/>
    <w:rsid w:val="004F3E21"/>
    <w:rsid w:val="004F5177"/>
    <w:rsid w:val="004F6998"/>
    <w:rsid w:val="004F6A48"/>
    <w:rsid w:val="004F706C"/>
    <w:rsid w:val="00501AE7"/>
    <w:rsid w:val="005049C5"/>
    <w:rsid w:val="00505444"/>
    <w:rsid w:val="005067B4"/>
    <w:rsid w:val="00506C6E"/>
    <w:rsid w:val="005140BF"/>
    <w:rsid w:val="005142A8"/>
    <w:rsid w:val="0051495F"/>
    <w:rsid w:val="00514D6D"/>
    <w:rsid w:val="005166ED"/>
    <w:rsid w:val="00517088"/>
    <w:rsid w:val="00517E69"/>
    <w:rsid w:val="005240FC"/>
    <w:rsid w:val="00524730"/>
    <w:rsid w:val="005252FC"/>
    <w:rsid w:val="0052543D"/>
    <w:rsid w:val="00525739"/>
    <w:rsid w:val="00527FCE"/>
    <w:rsid w:val="00533CAA"/>
    <w:rsid w:val="0053691F"/>
    <w:rsid w:val="00543D10"/>
    <w:rsid w:val="0054523D"/>
    <w:rsid w:val="0054578B"/>
    <w:rsid w:val="0054677B"/>
    <w:rsid w:val="00546E86"/>
    <w:rsid w:val="00546F89"/>
    <w:rsid w:val="005470E3"/>
    <w:rsid w:val="00552496"/>
    <w:rsid w:val="00553498"/>
    <w:rsid w:val="00555B19"/>
    <w:rsid w:val="005573DD"/>
    <w:rsid w:val="00561ABD"/>
    <w:rsid w:val="005623AB"/>
    <w:rsid w:val="0056297E"/>
    <w:rsid w:val="005639C1"/>
    <w:rsid w:val="005644B6"/>
    <w:rsid w:val="00564881"/>
    <w:rsid w:val="00564B52"/>
    <w:rsid w:val="00567501"/>
    <w:rsid w:val="00567670"/>
    <w:rsid w:val="00567B51"/>
    <w:rsid w:val="005704B5"/>
    <w:rsid w:val="00570C88"/>
    <w:rsid w:val="0057203B"/>
    <w:rsid w:val="005729D0"/>
    <w:rsid w:val="00572F4C"/>
    <w:rsid w:val="00573CDA"/>
    <w:rsid w:val="00577349"/>
    <w:rsid w:val="0058048F"/>
    <w:rsid w:val="00583E07"/>
    <w:rsid w:val="00583E9F"/>
    <w:rsid w:val="00584C29"/>
    <w:rsid w:val="00585491"/>
    <w:rsid w:val="005864E0"/>
    <w:rsid w:val="00590D57"/>
    <w:rsid w:val="00591847"/>
    <w:rsid w:val="005918AA"/>
    <w:rsid w:val="00592517"/>
    <w:rsid w:val="00593FB5"/>
    <w:rsid w:val="005940E1"/>
    <w:rsid w:val="00596624"/>
    <w:rsid w:val="00596A68"/>
    <w:rsid w:val="005A19A8"/>
    <w:rsid w:val="005A2821"/>
    <w:rsid w:val="005A3D22"/>
    <w:rsid w:val="005A3F76"/>
    <w:rsid w:val="005A4BCB"/>
    <w:rsid w:val="005A53A7"/>
    <w:rsid w:val="005A63C0"/>
    <w:rsid w:val="005A66E5"/>
    <w:rsid w:val="005A77F7"/>
    <w:rsid w:val="005A7D7B"/>
    <w:rsid w:val="005B0ED8"/>
    <w:rsid w:val="005B0F72"/>
    <w:rsid w:val="005B3529"/>
    <w:rsid w:val="005B3D20"/>
    <w:rsid w:val="005B4AD3"/>
    <w:rsid w:val="005B61A9"/>
    <w:rsid w:val="005B79B4"/>
    <w:rsid w:val="005B7DC9"/>
    <w:rsid w:val="005C052E"/>
    <w:rsid w:val="005C38BD"/>
    <w:rsid w:val="005C49FA"/>
    <w:rsid w:val="005C51A4"/>
    <w:rsid w:val="005C5DF7"/>
    <w:rsid w:val="005C76C6"/>
    <w:rsid w:val="005C7BC2"/>
    <w:rsid w:val="005D023F"/>
    <w:rsid w:val="005D26FD"/>
    <w:rsid w:val="005D2ADC"/>
    <w:rsid w:val="005D5C11"/>
    <w:rsid w:val="005D5E61"/>
    <w:rsid w:val="005E0027"/>
    <w:rsid w:val="005E3F92"/>
    <w:rsid w:val="005E4DF4"/>
    <w:rsid w:val="005E529D"/>
    <w:rsid w:val="005F39A8"/>
    <w:rsid w:val="005F60C7"/>
    <w:rsid w:val="005F6E50"/>
    <w:rsid w:val="00601031"/>
    <w:rsid w:val="0060372B"/>
    <w:rsid w:val="006038E2"/>
    <w:rsid w:val="00604857"/>
    <w:rsid w:val="006063D1"/>
    <w:rsid w:val="00607079"/>
    <w:rsid w:val="00611C9D"/>
    <w:rsid w:val="00615F4E"/>
    <w:rsid w:val="00617400"/>
    <w:rsid w:val="00620859"/>
    <w:rsid w:val="006217A4"/>
    <w:rsid w:val="006220B2"/>
    <w:rsid w:val="00623011"/>
    <w:rsid w:val="006264AF"/>
    <w:rsid w:val="00627FEA"/>
    <w:rsid w:val="00635F07"/>
    <w:rsid w:val="0063678B"/>
    <w:rsid w:val="00642CA6"/>
    <w:rsid w:val="0064366E"/>
    <w:rsid w:val="0064495C"/>
    <w:rsid w:val="00646BC1"/>
    <w:rsid w:val="00646C8D"/>
    <w:rsid w:val="00646CA3"/>
    <w:rsid w:val="0064780D"/>
    <w:rsid w:val="00651B5D"/>
    <w:rsid w:val="00651CEC"/>
    <w:rsid w:val="00653D86"/>
    <w:rsid w:val="00655FB4"/>
    <w:rsid w:val="00656153"/>
    <w:rsid w:val="00656DB4"/>
    <w:rsid w:val="00656EAB"/>
    <w:rsid w:val="006579E9"/>
    <w:rsid w:val="00664373"/>
    <w:rsid w:val="0067093D"/>
    <w:rsid w:val="006719CE"/>
    <w:rsid w:val="00672CB3"/>
    <w:rsid w:val="00672CED"/>
    <w:rsid w:val="00673A46"/>
    <w:rsid w:val="0067799F"/>
    <w:rsid w:val="00677FF9"/>
    <w:rsid w:val="00680403"/>
    <w:rsid w:val="00680619"/>
    <w:rsid w:val="00683700"/>
    <w:rsid w:val="00683D06"/>
    <w:rsid w:val="00686F2E"/>
    <w:rsid w:val="00687262"/>
    <w:rsid w:val="00687B53"/>
    <w:rsid w:val="0069179E"/>
    <w:rsid w:val="00692473"/>
    <w:rsid w:val="00693973"/>
    <w:rsid w:val="00694D35"/>
    <w:rsid w:val="006A0F56"/>
    <w:rsid w:val="006A25CC"/>
    <w:rsid w:val="006A2732"/>
    <w:rsid w:val="006A33D2"/>
    <w:rsid w:val="006A54BB"/>
    <w:rsid w:val="006B16BA"/>
    <w:rsid w:val="006B38A8"/>
    <w:rsid w:val="006B5878"/>
    <w:rsid w:val="006C3D30"/>
    <w:rsid w:val="006C4298"/>
    <w:rsid w:val="006C4F0F"/>
    <w:rsid w:val="006C71E8"/>
    <w:rsid w:val="006D1FA8"/>
    <w:rsid w:val="006D5EE8"/>
    <w:rsid w:val="006E01FB"/>
    <w:rsid w:val="006E169C"/>
    <w:rsid w:val="006E281A"/>
    <w:rsid w:val="006F0091"/>
    <w:rsid w:val="006F109C"/>
    <w:rsid w:val="006F480A"/>
    <w:rsid w:val="006F7081"/>
    <w:rsid w:val="007009B7"/>
    <w:rsid w:val="007012F8"/>
    <w:rsid w:val="00701B80"/>
    <w:rsid w:val="00703C4E"/>
    <w:rsid w:val="00707759"/>
    <w:rsid w:val="007106ED"/>
    <w:rsid w:val="007129CF"/>
    <w:rsid w:val="00713C82"/>
    <w:rsid w:val="00714E27"/>
    <w:rsid w:val="00716B0F"/>
    <w:rsid w:val="007173FC"/>
    <w:rsid w:val="007253BD"/>
    <w:rsid w:val="0073000B"/>
    <w:rsid w:val="00731463"/>
    <w:rsid w:val="0073220E"/>
    <w:rsid w:val="00735B74"/>
    <w:rsid w:val="00737437"/>
    <w:rsid w:val="00742F8E"/>
    <w:rsid w:val="007431D1"/>
    <w:rsid w:val="00743649"/>
    <w:rsid w:val="00744E0D"/>
    <w:rsid w:val="007464F9"/>
    <w:rsid w:val="00746548"/>
    <w:rsid w:val="00747423"/>
    <w:rsid w:val="00751AD6"/>
    <w:rsid w:val="00751E45"/>
    <w:rsid w:val="007536E8"/>
    <w:rsid w:val="007544F7"/>
    <w:rsid w:val="00754D3A"/>
    <w:rsid w:val="00755274"/>
    <w:rsid w:val="007554D3"/>
    <w:rsid w:val="00756A55"/>
    <w:rsid w:val="00757788"/>
    <w:rsid w:val="00760A95"/>
    <w:rsid w:val="0076250B"/>
    <w:rsid w:val="00764545"/>
    <w:rsid w:val="00764F96"/>
    <w:rsid w:val="00765A07"/>
    <w:rsid w:val="00767420"/>
    <w:rsid w:val="00770F44"/>
    <w:rsid w:val="00776F60"/>
    <w:rsid w:val="007774C7"/>
    <w:rsid w:val="00780006"/>
    <w:rsid w:val="00780A1C"/>
    <w:rsid w:val="00780AB9"/>
    <w:rsid w:val="00780D54"/>
    <w:rsid w:val="00780DC9"/>
    <w:rsid w:val="007837DA"/>
    <w:rsid w:val="00783886"/>
    <w:rsid w:val="00785C65"/>
    <w:rsid w:val="00785DE5"/>
    <w:rsid w:val="00785DE7"/>
    <w:rsid w:val="00786083"/>
    <w:rsid w:val="00790511"/>
    <w:rsid w:val="00791A8B"/>
    <w:rsid w:val="007971D8"/>
    <w:rsid w:val="007A324F"/>
    <w:rsid w:val="007B00C0"/>
    <w:rsid w:val="007B1C73"/>
    <w:rsid w:val="007B1F7D"/>
    <w:rsid w:val="007B242B"/>
    <w:rsid w:val="007B2A56"/>
    <w:rsid w:val="007B3F1B"/>
    <w:rsid w:val="007B6ED8"/>
    <w:rsid w:val="007C03AB"/>
    <w:rsid w:val="007C2429"/>
    <w:rsid w:val="007C491A"/>
    <w:rsid w:val="007C7862"/>
    <w:rsid w:val="007D1C7E"/>
    <w:rsid w:val="007D2146"/>
    <w:rsid w:val="007D4014"/>
    <w:rsid w:val="007D4AEE"/>
    <w:rsid w:val="007D7766"/>
    <w:rsid w:val="007D7977"/>
    <w:rsid w:val="007D7B11"/>
    <w:rsid w:val="007E1127"/>
    <w:rsid w:val="007E571A"/>
    <w:rsid w:val="007E5E28"/>
    <w:rsid w:val="007E7031"/>
    <w:rsid w:val="007F052A"/>
    <w:rsid w:val="007F0A4B"/>
    <w:rsid w:val="007F1546"/>
    <w:rsid w:val="007F511D"/>
    <w:rsid w:val="007F57CC"/>
    <w:rsid w:val="00801A93"/>
    <w:rsid w:val="00803548"/>
    <w:rsid w:val="00803711"/>
    <w:rsid w:val="00803ED7"/>
    <w:rsid w:val="00804515"/>
    <w:rsid w:val="008067AD"/>
    <w:rsid w:val="0081162D"/>
    <w:rsid w:val="00815655"/>
    <w:rsid w:val="00817708"/>
    <w:rsid w:val="0082031C"/>
    <w:rsid w:val="00824ED7"/>
    <w:rsid w:val="00831BB3"/>
    <w:rsid w:val="00832CAD"/>
    <w:rsid w:val="00833A6C"/>
    <w:rsid w:val="00835B48"/>
    <w:rsid w:val="00837705"/>
    <w:rsid w:val="008456A9"/>
    <w:rsid w:val="008468D6"/>
    <w:rsid w:val="00846CE4"/>
    <w:rsid w:val="00846DF9"/>
    <w:rsid w:val="00847096"/>
    <w:rsid w:val="00847DA1"/>
    <w:rsid w:val="00851181"/>
    <w:rsid w:val="00856FC6"/>
    <w:rsid w:val="008602FF"/>
    <w:rsid w:val="00861114"/>
    <w:rsid w:val="008623BD"/>
    <w:rsid w:val="00862B7C"/>
    <w:rsid w:val="00863EDC"/>
    <w:rsid w:val="00864567"/>
    <w:rsid w:val="00866FE1"/>
    <w:rsid w:val="00867526"/>
    <w:rsid w:val="00873A62"/>
    <w:rsid w:val="00873FCF"/>
    <w:rsid w:val="008747F0"/>
    <w:rsid w:val="00877A01"/>
    <w:rsid w:val="00877F5B"/>
    <w:rsid w:val="00880143"/>
    <w:rsid w:val="008818A2"/>
    <w:rsid w:val="00883023"/>
    <w:rsid w:val="00884593"/>
    <w:rsid w:val="00885B4D"/>
    <w:rsid w:val="00885F93"/>
    <w:rsid w:val="00887048"/>
    <w:rsid w:val="008913DB"/>
    <w:rsid w:val="00891636"/>
    <w:rsid w:val="00897847"/>
    <w:rsid w:val="008A152F"/>
    <w:rsid w:val="008A2D1E"/>
    <w:rsid w:val="008A429D"/>
    <w:rsid w:val="008B2397"/>
    <w:rsid w:val="008B4095"/>
    <w:rsid w:val="008B4F14"/>
    <w:rsid w:val="008B6F2B"/>
    <w:rsid w:val="008B7A39"/>
    <w:rsid w:val="008C2662"/>
    <w:rsid w:val="008C358B"/>
    <w:rsid w:val="008C5892"/>
    <w:rsid w:val="008C6755"/>
    <w:rsid w:val="008C697D"/>
    <w:rsid w:val="008C6B84"/>
    <w:rsid w:val="008C6CFD"/>
    <w:rsid w:val="008D00B2"/>
    <w:rsid w:val="008D09AA"/>
    <w:rsid w:val="008D1457"/>
    <w:rsid w:val="008D2DDD"/>
    <w:rsid w:val="008D40A8"/>
    <w:rsid w:val="008D4AD3"/>
    <w:rsid w:val="008D7A55"/>
    <w:rsid w:val="008E14D5"/>
    <w:rsid w:val="008E1617"/>
    <w:rsid w:val="008E686D"/>
    <w:rsid w:val="008F3A04"/>
    <w:rsid w:val="008F435F"/>
    <w:rsid w:val="008F4AC9"/>
    <w:rsid w:val="00900C46"/>
    <w:rsid w:val="009046B7"/>
    <w:rsid w:val="00904765"/>
    <w:rsid w:val="009066E9"/>
    <w:rsid w:val="00910E92"/>
    <w:rsid w:val="00912710"/>
    <w:rsid w:val="0091473B"/>
    <w:rsid w:val="00916AB5"/>
    <w:rsid w:val="00916FF5"/>
    <w:rsid w:val="00920A9F"/>
    <w:rsid w:val="00920BF6"/>
    <w:rsid w:val="00921250"/>
    <w:rsid w:val="00922BB7"/>
    <w:rsid w:val="00924BA0"/>
    <w:rsid w:val="00925680"/>
    <w:rsid w:val="00925BC4"/>
    <w:rsid w:val="009261EA"/>
    <w:rsid w:val="009340C1"/>
    <w:rsid w:val="00934A9F"/>
    <w:rsid w:val="00936DED"/>
    <w:rsid w:val="00937D56"/>
    <w:rsid w:val="0094030D"/>
    <w:rsid w:val="00941BD2"/>
    <w:rsid w:val="00942BDF"/>
    <w:rsid w:val="00944D03"/>
    <w:rsid w:val="009462A1"/>
    <w:rsid w:val="0095038E"/>
    <w:rsid w:val="00951C2F"/>
    <w:rsid w:val="00954CE2"/>
    <w:rsid w:val="009558B0"/>
    <w:rsid w:val="00955DD4"/>
    <w:rsid w:val="0095677A"/>
    <w:rsid w:val="00956FC6"/>
    <w:rsid w:val="00960A5A"/>
    <w:rsid w:val="00961ADE"/>
    <w:rsid w:val="00964054"/>
    <w:rsid w:val="00965A70"/>
    <w:rsid w:val="00965C84"/>
    <w:rsid w:val="009765B2"/>
    <w:rsid w:val="00981AD8"/>
    <w:rsid w:val="00981DBD"/>
    <w:rsid w:val="00982295"/>
    <w:rsid w:val="009867F1"/>
    <w:rsid w:val="00987A86"/>
    <w:rsid w:val="009906BE"/>
    <w:rsid w:val="00991FFE"/>
    <w:rsid w:val="00992CD3"/>
    <w:rsid w:val="009931F7"/>
    <w:rsid w:val="0099453B"/>
    <w:rsid w:val="00996890"/>
    <w:rsid w:val="009970D2"/>
    <w:rsid w:val="009A2144"/>
    <w:rsid w:val="009A2E87"/>
    <w:rsid w:val="009A555F"/>
    <w:rsid w:val="009A6B2E"/>
    <w:rsid w:val="009B0DC8"/>
    <w:rsid w:val="009B1E24"/>
    <w:rsid w:val="009B2E65"/>
    <w:rsid w:val="009B3367"/>
    <w:rsid w:val="009B5289"/>
    <w:rsid w:val="009B714A"/>
    <w:rsid w:val="009B7DC8"/>
    <w:rsid w:val="009C23B5"/>
    <w:rsid w:val="009C3356"/>
    <w:rsid w:val="009C6B7A"/>
    <w:rsid w:val="009C7806"/>
    <w:rsid w:val="009D1E55"/>
    <w:rsid w:val="009D27CE"/>
    <w:rsid w:val="009D43A2"/>
    <w:rsid w:val="009D4967"/>
    <w:rsid w:val="009D4BF8"/>
    <w:rsid w:val="009D5BFA"/>
    <w:rsid w:val="009D61D0"/>
    <w:rsid w:val="009D71B1"/>
    <w:rsid w:val="009E193B"/>
    <w:rsid w:val="009E27B4"/>
    <w:rsid w:val="009E6BEE"/>
    <w:rsid w:val="00A010CB"/>
    <w:rsid w:val="00A0234B"/>
    <w:rsid w:val="00A031FA"/>
    <w:rsid w:val="00A03C9F"/>
    <w:rsid w:val="00A040C7"/>
    <w:rsid w:val="00A048B8"/>
    <w:rsid w:val="00A04EF3"/>
    <w:rsid w:val="00A0510F"/>
    <w:rsid w:val="00A060A8"/>
    <w:rsid w:val="00A10B4A"/>
    <w:rsid w:val="00A1340C"/>
    <w:rsid w:val="00A14108"/>
    <w:rsid w:val="00A15C31"/>
    <w:rsid w:val="00A26400"/>
    <w:rsid w:val="00A3019C"/>
    <w:rsid w:val="00A32D8D"/>
    <w:rsid w:val="00A34197"/>
    <w:rsid w:val="00A35F5E"/>
    <w:rsid w:val="00A3621F"/>
    <w:rsid w:val="00A3652B"/>
    <w:rsid w:val="00A37D3B"/>
    <w:rsid w:val="00A40595"/>
    <w:rsid w:val="00A42D2B"/>
    <w:rsid w:val="00A438AA"/>
    <w:rsid w:val="00A44BBB"/>
    <w:rsid w:val="00A45407"/>
    <w:rsid w:val="00A4592F"/>
    <w:rsid w:val="00A47380"/>
    <w:rsid w:val="00A50F2C"/>
    <w:rsid w:val="00A51051"/>
    <w:rsid w:val="00A5229B"/>
    <w:rsid w:val="00A529FE"/>
    <w:rsid w:val="00A60968"/>
    <w:rsid w:val="00A60C2D"/>
    <w:rsid w:val="00A61402"/>
    <w:rsid w:val="00A638D9"/>
    <w:rsid w:val="00A63A79"/>
    <w:rsid w:val="00A652CC"/>
    <w:rsid w:val="00A661B5"/>
    <w:rsid w:val="00A66B8D"/>
    <w:rsid w:val="00A66FE4"/>
    <w:rsid w:val="00A67462"/>
    <w:rsid w:val="00A705E7"/>
    <w:rsid w:val="00A70662"/>
    <w:rsid w:val="00A71169"/>
    <w:rsid w:val="00A71B06"/>
    <w:rsid w:val="00A736F9"/>
    <w:rsid w:val="00A74DA4"/>
    <w:rsid w:val="00A82AF6"/>
    <w:rsid w:val="00A83148"/>
    <w:rsid w:val="00A833D4"/>
    <w:rsid w:val="00A83C30"/>
    <w:rsid w:val="00A865EB"/>
    <w:rsid w:val="00A93F96"/>
    <w:rsid w:val="00A94432"/>
    <w:rsid w:val="00A95061"/>
    <w:rsid w:val="00A955FC"/>
    <w:rsid w:val="00A95951"/>
    <w:rsid w:val="00A970F7"/>
    <w:rsid w:val="00AA0B1A"/>
    <w:rsid w:val="00AA1367"/>
    <w:rsid w:val="00AA1596"/>
    <w:rsid w:val="00AA2C1B"/>
    <w:rsid w:val="00AA31A3"/>
    <w:rsid w:val="00AA3A22"/>
    <w:rsid w:val="00AA4168"/>
    <w:rsid w:val="00AA4BFC"/>
    <w:rsid w:val="00AA669F"/>
    <w:rsid w:val="00AA67D4"/>
    <w:rsid w:val="00AB2ADE"/>
    <w:rsid w:val="00AB2EA4"/>
    <w:rsid w:val="00AB55E9"/>
    <w:rsid w:val="00AB67E2"/>
    <w:rsid w:val="00AC32B7"/>
    <w:rsid w:val="00AC3D52"/>
    <w:rsid w:val="00AC4761"/>
    <w:rsid w:val="00AD0082"/>
    <w:rsid w:val="00AD0FAD"/>
    <w:rsid w:val="00AD2B0C"/>
    <w:rsid w:val="00AD315D"/>
    <w:rsid w:val="00AD435E"/>
    <w:rsid w:val="00AD5329"/>
    <w:rsid w:val="00AD5C79"/>
    <w:rsid w:val="00AE4640"/>
    <w:rsid w:val="00AE5925"/>
    <w:rsid w:val="00AE7957"/>
    <w:rsid w:val="00AF0158"/>
    <w:rsid w:val="00AF0513"/>
    <w:rsid w:val="00AF06FC"/>
    <w:rsid w:val="00AF47D7"/>
    <w:rsid w:val="00B01DB6"/>
    <w:rsid w:val="00B01F62"/>
    <w:rsid w:val="00B02585"/>
    <w:rsid w:val="00B025CF"/>
    <w:rsid w:val="00B0638F"/>
    <w:rsid w:val="00B104BB"/>
    <w:rsid w:val="00B11500"/>
    <w:rsid w:val="00B13EC6"/>
    <w:rsid w:val="00B14CAE"/>
    <w:rsid w:val="00B227DD"/>
    <w:rsid w:val="00B2549B"/>
    <w:rsid w:val="00B2693A"/>
    <w:rsid w:val="00B27159"/>
    <w:rsid w:val="00B358A4"/>
    <w:rsid w:val="00B359DC"/>
    <w:rsid w:val="00B365E5"/>
    <w:rsid w:val="00B370D1"/>
    <w:rsid w:val="00B37252"/>
    <w:rsid w:val="00B37A4E"/>
    <w:rsid w:val="00B37E7E"/>
    <w:rsid w:val="00B41F2B"/>
    <w:rsid w:val="00B44767"/>
    <w:rsid w:val="00B45A96"/>
    <w:rsid w:val="00B45B72"/>
    <w:rsid w:val="00B45CBA"/>
    <w:rsid w:val="00B46504"/>
    <w:rsid w:val="00B479EB"/>
    <w:rsid w:val="00B50719"/>
    <w:rsid w:val="00B52A80"/>
    <w:rsid w:val="00B52BF6"/>
    <w:rsid w:val="00B53DC5"/>
    <w:rsid w:val="00B54B0A"/>
    <w:rsid w:val="00B54BC6"/>
    <w:rsid w:val="00B56224"/>
    <w:rsid w:val="00B61526"/>
    <w:rsid w:val="00B63B27"/>
    <w:rsid w:val="00B6509D"/>
    <w:rsid w:val="00B654E9"/>
    <w:rsid w:val="00B65F0A"/>
    <w:rsid w:val="00B66C85"/>
    <w:rsid w:val="00B67245"/>
    <w:rsid w:val="00B71F62"/>
    <w:rsid w:val="00B74C6F"/>
    <w:rsid w:val="00B8251D"/>
    <w:rsid w:val="00B859F5"/>
    <w:rsid w:val="00B86C4C"/>
    <w:rsid w:val="00B86D7B"/>
    <w:rsid w:val="00B87EC7"/>
    <w:rsid w:val="00B90B47"/>
    <w:rsid w:val="00B929CC"/>
    <w:rsid w:val="00B92A81"/>
    <w:rsid w:val="00B94FB3"/>
    <w:rsid w:val="00B9532C"/>
    <w:rsid w:val="00B95429"/>
    <w:rsid w:val="00B97122"/>
    <w:rsid w:val="00BA0AA1"/>
    <w:rsid w:val="00BA1E37"/>
    <w:rsid w:val="00BA3ADA"/>
    <w:rsid w:val="00BA4C4A"/>
    <w:rsid w:val="00BA504D"/>
    <w:rsid w:val="00BA6D6E"/>
    <w:rsid w:val="00BB01C5"/>
    <w:rsid w:val="00BB04F6"/>
    <w:rsid w:val="00BB2EF1"/>
    <w:rsid w:val="00BB3545"/>
    <w:rsid w:val="00BB51C5"/>
    <w:rsid w:val="00BB541C"/>
    <w:rsid w:val="00BB6DDD"/>
    <w:rsid w:val="00BB73BC"/>
    <w:rsid w:val="00BB7FC7"/>
    <w:rsid w:val="00BC0C7D"/>
    <w:rsid w:val="00BC7C68"/>
    <w:rsid w:val="00BD01F8"/>
    <w:rsid w:val="00BD12EB"/>
    <w:rsid w:val="00BD5FB8"/>
    <w:rsid w:val="00BD745E"/>
    <w:rsid w:val="00BD7944"/>
    <w:rsid w:val="00BE1013"/>
    <w:rsid w:val="00BE1ED9"/>
    <w:rsid w:val="00BE3722"/>
    <w:rsid w:val="00BE4035"/>
    <w:rsid w:val="00BE4C50"/>
    <w:rsid w:val="00BE5908"/>
    <w:rsid w:val="00BE6243"/>
    <w:rsid w:val="00BF0B06"/>
    <w:rsid w:val="00BF27E8"/>
    <w:rsid w:val="00BF29CB"/>
    <w:rsid w:val="00BF2FEB"/>
    <w:rsid w:val="00BF5E8E"/>
    <w:rsid w:val="00BF6BE7"/>
    <w:rsid w:val="00C01DA1"/>
    <w:rsid w:val="00C020C8"/>
    <w:rsid w:val="00C029C7"/>
    <w:rsid w:val="00C0390D"/>
    <w:rsid w:val="00C048A6"/>
    <w:rsid w:val="00C05C0E"/>
    <w:rsid w:val="00C0638D"/>
    <w:rsid w:val="00C072C7"/>
    <w:rsid w:val="00C073FF"/>
    <w:rsid w:val="00C07D1D"/>
    <w:rsid w:val="00C14F8D"/>
    <w:rsid w:val="00C15281"/>
    <w:rsid w:val="00C20377"/>
    <w:rsid w:val="00C20F41"/>
    <w:rsid w:val="00C242C3"/>
    <w:rsid w:val="00C24A8B"/>
    <w:rsid w:val="00C2545D"/>
    <w:rsid w:val="00C25FDE"/>
    <w:rsid w:val="00C30383"/>
    <w:rsid w:val="00C30F56"/>
    <w:rsid w:val="00C31691"/>
    <w:rsid w:val="00C3174B"/>
    <w:rsid w:val="00C3416A"/>
    <w:rsid w:val="00C36778"/>
    <w:rsid w:val="00C36A7D"/>
    <w:rsid w:val="00C36CE7"/>
    <w:rsid w:val="00C405E9"/>
    <w:rsid w:val="00C41579"/>
    <w:rsid w:val="00C41A0C"/>
    <w:rsid w:val="00C42D53"/>
    <w:rsid w:val="00C4386F"/>
    <w:rsid w:val="00C43DBB"/>
    <w:rsid w:val="00C47074"/>
    <w:rsid w:val="00C477A4"/>
    <w:rsid w:val="00C52AA8"/>
    <w:rsid w:val="00C536CC"/>
    <w:rsid w:val="00C54E58"/>
    <w:rsid w:val="00C54E9A"/>
    <w:rsid w:val="00C550A1"/>
    <w:rsid w:val="00C55EA5"/>
    <w:rsid w:val="00C57359"/>
    <w:rsid w:val="00C57993"/>
    <w:rsid w:val="00C60BFD"/>
    <w:rsid w:val="00C61541"/>
    <w:rsid w:val="00C63777"/>
    <w:rsid w:val="00C64601"/>
    <w:rsid w:val="00C65A9A"/>
    <w:rsid w:val="00C671B8"/>
    <w:rsid w:val="00C700F3"/>
    <w:rsid w:val="00C738A3"/>
    <w:rsid w:val="00C7468E"/>
    <w:rsid w:val="00C76C27"/>
    <w:rsid w:val="00C80E49"/>
    <w:rsid w:val="00C83593"/>
    <w:rsid w:val="00C84A21"/>
    <w:rsid w:val="00C85775"/>
    <w:rsid w:val="00C91614"/>
    <w:rsid w:val="00C92C4F"/>
    <w:rsid w:val="00C92DA4"/>
    <w:rsid w:val="00C96709"/>
    <w:rsid w:val="00C9798E"/>
    <w:rsid w:val="00CA036B"/>
    <w:rsid w:val="00CA2437"/>
    <w:rsid w:val="00CA5A16"/>
    <w:rsid w:val="00CB31DA"/>
    <w:rsid w:val="00CB672C"/>
    <w:rsid w:val="00CB72D8"/>
    <w:rsid w:val="00CC05AB"/>
    <w:rsid w:val="00CC09F6"/>
    <w:rsid w:val="00CC25ED"/>
    <w:rsid w:val="00CC5051"/>
    <w:rsid w:val="00CC6419"/>
    <w:rsid w:val="00CD0A18"/>
    <w:rsid w:val="00CD0EC6"/>
    <w:rsid w:val="00CD3615"/>
    <w:rsid w:val="00CD3E27"/>
    <w:rsid w:val="00CD50BD"/>
    <w:rsid w:val="00CD6241"/>
    <w:rsid w:val="00CD6C00"/>
    <w:rsid w:val="00CE08D5"/>
    <w:rsid w:val="00CE0F1B"/>
    <w:rsid w:val="00CE178B"/>
    <w:rsid w:val="00CE1B23"/>
    <w:rsid w:val="00CE5660"/>
    <w:rsid w:val="00CE5C13"/>
    <w:rsid w:val="00CF08A5"/>
    <w:rsid w:val="00CF2721"/>
    <w:rsid w:val="00CF37CC"/>
    <w:rsid w:val="00CF4352"/>
    <w:rsid w:val="00CF4D4C"/>
    <w:rsid w:val="00CF6B87"/>
    <w:rsid w:val="00CF6DCC"/>
    <w:rsid w:val="00CF7638"/>
    <w:rsid w:val="00D046F3"/>
    <w:rsid w:val="00D066BB"/>
    <w:rsid w:val="00D067CF"/>
    <w:rsid w:val="00D10E10"/>
    <w:rsid w:val="00D13213"/>
    <w:rsid w:val="00D13B6A"/>
    <w:rsid w:val="00D147F0"/>
    <w:rsid w:val="00D15A31"/>
    <w:rsid w:val="00D16B4D"/>
    <w:rsid w:val="00D16B5B"/>
    <w:rsid w:val="00D17ED2"/>
    <w:rsid w:val="00D209EE"/>
    <w:rsid w:val="00D216B2"/>
    <w:rsid w:val="00D2207A"/>
    <w:rsid w:val="00D23F97"/>
    <w:rsid w:val="00D24F21"/>
    <w:rsid w:val="00D35861"/>
    <w:rsid w:val="00D358FB"/>
    <w:rsid w:val="00D3646A"/>
    <w:rsid w:val="00D41CDB"/>
    <w:rsid w:val="00D504A9"/>
    <w:rsid w:val="00D50BFB"/>
    <w:rsid w:val="00D5620E"/>
    <w:rsid w:val="00D5698A"/>
    <w:rsid w:val="00D603F0"/>
    <w:rsid w:val="00D63C60"/>
    <w:rsid w:val="00D6424B"/>
    <w:rsid w:val="00D67A58"/>
    <w:rsid w:val="00D71519"/>
    <w:rsid w:val="00D72B6C"/>
    <w:rsid w:val="00D7463B"/>
    <w:rsid w:val="00D76327"/>
    <w:rsid w:val="00D8293A"/>
    <w:rsid w:val="00D83BFA"/>
    <w:rsid w:val="00D843DA"/>
    <w:rsid w:val="00D85BBF"/>
    <w:rsid w:val="00D86652"/>
    <w:rsid w:val="00D9114E"/>
    <w:rsid w:val="00D940CC"/>
    <w:rsid w:val="00D941EB"/>
    <w:rsid w:val="00D94F6B"/>
    <w:rsid w:val="00D952D5"/>
    <w:rsid w:val="00D96326"/>
    <w:rsid w:val="00DA103D"/>
    <w:rsid w:val="00DA20E9"/>
    <w:rsid w:val="00DA3E54"/>
    <w:rsid w:val="00DB0D62"/>
    <w:rsid w:val="00DB2EF6"/>
    <w:rsid w:val="00DB345A"/>
    <w:rsid w:val="00DB791A"/>
    <w:rsid w:val="00DC1FF9"/>
    <w:rsid w:val="00DC216B"/>
    <w:rsid w:val="00DC25B9"/>
    <w:rsid w:val="00DC2F00"/>
    <w:rsid w:val="00DC4837"/>
    <w:rsid w:val="00DC6713"/>
    <w:rsid w:val="00DD00FF"/>
    <w:rsid w:val="00DD1464"/>
    <w:rsid w:val="00DD1974"/>
    <w:rsid w:val="00DD3F2A"/>
    <w:rsid w:val="00DE1012"/>
    <w:rsid w:val="00DE1853"/>
    <w:rsid w:val="00DE3996"/>
    <w:rsid w:val="00DE48D9"/>
    <w:rsid w:val="00DE7D1A"/>
    <w:rsid w:val="00DF25B4"/>
    <w:rsid w:val="00DF41CE"/>
    <w:rsid w:val="00DF51DB"/>
    <w:rsid w:val="00E0015A"/>
    <w:rsid w:val="00E10E37"/>
    <w:rsid w:val="00E15503"/>
    <w:rsid w:val="00E1750D"/>
    <w:rsid w:val="00E176D8"/>
    <w:rsid w:val="00E1798F"/>
    <w:rsid w:val="00E222CE"/>
    <w:rsid w:val="00E22837"/>
    <w:rsid w:val="00E22D2B"/>
    <w:rsid w:val="00E23FBA"/>
    <w:rsid w:val="00E24E0A"/>
    <w:rsid w:val="00E2561D"/>
    <w:rsid w:val="00E344A0"/>
    <w:rsid w:val="00E344D5"/>
    <w:rsid w:val="00E344E4"/>
    <w:rsid w:val="00E3506B"/>
    <w:rsid w:val="00E37BE2"/>
    <w:rsid w:val="00E40CAA"/>
    <w:rsid w:val="00E423A2"/>
    <w:rsid w:val="00E4327E"/>
    <w:rsid w:val="00E463C2"/>
    <w:rsid w:val="00E46CC7"/>
    <w:rsid w:val="00E47A96"/>
    <w:rsid w:val="00E51DE9"/>
    <w:rsid w:val="00E52B80"/>
    <w:rsid w:val="00E617C7"/>
    <w:rsid w:val="00E61B60"/>
    <w:rsid w:val="00E62262"/>
    <w:rsid w:val="00E64846"/>
    <w:rsid w:val="00E66016"/>
    <w:rsid w:val="00E66874"/>
    <w:rsid w:val="00E72531"/>
    <w:rsid w:val="00E74DE7"/>
    <w:rsid w:val="00E75D97"/>
    <w:rsid w:val="00E80A5A"/>
    <w:rsid w:val="00E818EA"/>
    <w:rsid w:val="00E81AB7"/>
    <w:rsid w:val="00E92197"/>
    <w:rsid w:val="00E92998"/>
    <w:rsid w:val="00E95339"/>
    <w:rsid w:val="00EA0EB3"/>
    <w:rsid w:val="00EA5AF5"/>
    <w:rsid w:val="00EA6BA8"/>
    <w:rsid w:val="00EB0E84"/>
    <w:rsid w:val="00EB23CD"/>
    <w:rsid w:val="00EB3111"/>
    <w:rsid w:val="00EB4B3B"/>
    <w:rsid w:val="00EB5109"/>
    <w:rsid w:val="00EC142B"/>
    <w:rsid w:val="00EC1809"/>
    <w:rsid w:val="00EC1FA2"/>
    <w:rsid w:val="00EC35EB"/>
    <w:rsid w:val="00EC5501"/>
    <w:rsid w:val="00EC59FD"/>
    <w:rsid w:val="00EC6941"/>
    <w:rsid w:val="00EC6E55"/>
    <w:rsid w:val="00ED08A3"/>
    <w:rsid w:val="00ED1B37"/>
    <w:rsid w:val="00ED3B93"/>
    <w:rsid w:val="00ED51E9"/>
    <w:rsid w:val="00EE3777"/>
    <w:rsid w:val="00EE6DF3"/>
    <w:rsid w:val="00EF10D2"/>
    <w:rsid w:val="00EF3039"/>
    <w:rsid w:val="00EF4E65"/>
    <w:rsid w:val="00EF5F5B"/>
    <w:rsid w:val="00EF70CD"/>
    <w:rsid w:val="00EF77C7"/>
    <w:rsid w:val="00EF7B23"/>
    <w:rsid w:val="00F011EE"/>
    <w:rsid w:val="00F07212"/>
    <w:rsid w:val="00F0728C"/>
    <w:rsid w:val="00F12945"/>
    <w:rsid w:val="00F13689"/>
    <w:rsid w:val="00F17641"/>
    <w:rsid w:val="00F17786"/>
    <w:rsid w:val="00F20C55"/>
    <w:rsid w:val="00F20F18"/>
    <w:rsid w:val="00F21268"/>
    <w:rsid w:val="00F22DFB"/>
    <w:rsid w:val="00F244D3"/>
    <w:rsid w:val="00F25F51"/>
    <w:rsid w:val="00F30A54"/>
    <w:rsid w:val="00F31C91"/>
    <w:rsid w:val="00F32AC2"/>
    <w:rsid w:val="00F34EDE"/>
    <w:rsid w:val="00F36484"/>
    <w:rsid w:val="00F41606"/>
    <w:rsid w:val="00F451F3"/>
    <w:rsid w:val="00F45BF7"/>
    <w:rsid w:val="00F464FC"/>
    <w:rsid w:val="00F46F53"/>
    <w:rsid w:val="00F5198F"/>
    <w:rsid w:val="00F51CBE"/>
    <w:rsid w:val="00F54951"/>
    <w:rsid w:val="00F57A52"/>
    <w:rsid w:val="00F611D1"/>
    <w:rsid w:val="00F637F2"/>
    <w:rsid w:val="00F653CB"/>
    <w:rsid w:val="00F65C83"/>
    <w:rsid w:val="00F67369"/>
    <w:rsid w:val="00F7154D"/>
    <w:rsid w:val="00F71C69"/>
    <w:rsid w:val="00F72338"/>
    <w:rsid w:val="00F72982"/>
    <w:rsid w:val="00F73511"/>
    <w:rsid w:val="00F8022A"/>
    <w:rsid w:val="00F85B4A"/>
    <w:rsid w:val="00F87CBD"/>
    <w:rsid w:val="00F90637"/>
    <w:rsid w:val="00F9086B"/>
    <w:rsid w:val="00F94236"/>
    <w:rsid w:val="00F9584B"/>
    <w:rsid w:val="00F96C17"/>
    <w:rsid w:val="00F971D0"/>
    <w:rsid w:val="00FA1147"/>
    <w:rsid w:val="00FA581E"/>
    <w:rsid w:val="00FA7AB4"/>
    <w:rsid w:val="00FB47B3"/>
    <w:rsid w:val="00FB48DA"/>
    <w:rsid w:val="00FB51C1"/>
    <w:rsid w:val="00FB6C01"/>
    <w:rsid w:val="00FC2A96"/>
    <w:rsid w:val="00FC2E48"/>
    <w:rsid w:val="00FC3371"/>
    <w:rsid w:val="00FC40E3"/>
    <w:rsid w:val="00FC4A09"/>
    <w:rsid w:val="00FC65C5"/>
    <w:rsid w:val="00FD0050"/>
    <w:rsid w:val="00FD3522"/>
    <w:rsid w:val="00FD3705"/>
    <w:rsid w:val="00FE1A72"/>
    <w:rsid w:val="00FE56E1"/>
    <w:rsid w:val="00FE62C8"/>
    <w:rsid w:val="00FF0727"/>
    <w:rsid w:val="00FF0DBF"/>
    <w:rsid w:val="00FF34C8"/>
    <w:rsid w:val="00FF5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0F413"/>
  <w15:docId w15:val="{62AB1267-D410-4F10-963C-993F4D16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fr-FR" w:eastAsia="fr-FR" w:bidi="fr-FR"/>
    </w:rPr>
  </w:style>
  <w:style w:type="paragraph" w:styleId="Heading1">
    <w:name w:val="heading 1"/>
    <w:basedOn w:val="Normal"/>
    <w:next w:val="Normal"/>
    <w:link w:val="Heading1Char"/>
    <w:qFormat/>
    <w:rsid w:val="00B14CAE"/>
    <w:pPr>
      <w:keepNext/>
      <w:spacing w:before="240" w:after="60" w:line="240" w:lineRule="auto"/>
      <w:outlineLvl w:val="0"/>
    </w:pPr>
    <w:rPr>
      <w:rFonts w:ascii="Cambria" w:eastAsia="Times New Roman" w:hAnsi="Cambria"/>
      <w:b/>
      <w:bCs/>
      <w:kern w:val="32"/>
      <w:sz w:val="32"/>
      <w:szCs w:val="32"/>
      <w:lang w:val="en-GB" w:eastAsia="x-none" w:bidi="ar-SA"/>
    </w:rPr>
  </w:style>
  <w:style w:type="paragraph" w:styleId="Heading6">
    <w:name w:val="heading 6"/>
    <w:basedOn w:val="Normal"/>
    <w:next w:val="Normal"/>
    <w:link w:val="Heading6Char"/>
    <w:unhideWhenUsed/>
    <w:qFormat/>
    <w:rsid w:val="00B14CAE"/>
    <w:pPr>
      <w:keepNext/>
      <w:keepLines/>
      <w:pBdr>
        <w:top w:val="nil"/>
        <w:left w:val="nil"/>
        <w:bottom w:val="nil"/>
        <w:right w:val="nil"/>
        <w:between w:val="nil"/>
        <w:bar w:val="nil"/>
      </w:pBdr>
      <w:spacing w:before="40" w:after="0" w:line="240" w:lineRule="auto"/>
      <w:outlineLvl w:val="5"/>
    </w:pPr>
    <w:rPr>
      <w:rFonts w:asciiTheme="majorHAnsi" w:eastAsiaTheme="majorEastAsia" w:hAnsiTheme="majorHAnsi" w:cstheme="majorBidi"/>
      <w:color w:val="243F60" w:themeColor="accent1" w:themeShade="7F"/>
      <w:sz w:val="24"/>
      <w:szCs w:val="24"/>
      <w:bdr w:val="nil"/>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84593"/>
    <w:rPr>
      <w:rFonts w:ascii="Arial" w:hAnsi="Arial" w:cs="Arial"/>
      <w:bCs/>
      <w:sz w:val="22"/>
      <w:szCs w:val="22"/>
      <w:lang w:val="fr-FR" w:eastAsia="fr-FR" w:bidi="fr-FR"/>
    </w:rPr>
  </w:style>
  <w:style w:type="paragraph" w:styleId="BalloonText">
    <w:name w:val="Balloon Text"/>
    <w:basedOn w:val="Normal"/>
    <w:link w:val="BalloonTextChar"/>
    <w:uiPriority w:val="99"/>
    <w:semiHidden/>
    <w:unhideWhenUsed/>
    <w:rsid w:val="00884593"/>
    <w:pPr>
      <w:spacing w:after="0" w:line="240" w:lineRule="auto"/>
    </w:pPr>
    <w:rPr>
      <w:rFonts w:ascii="Tahoma" w:hAnsi="Tahoma"/>
      <w:sz w:val="16"/>
      <w:szCs w:val="16"/>
      <w:lang w:bidi="ar-SA"/>
    </w:rPr>
  </w:style>
  <w:style w:type="character" w:customStyle="1" w:styleId="BalloonTextChar">
    <w:name w:val="Balloon Text Char"/>
    <w:link w:val="BalloonText"/>
    <w:uiPriority w:val="99"/>
    <w:semiHidden/>
    <w:rsid w:val="00884593"/>
    <w:rPr>
      <w:rFonts w:ascii="Tahoma" w:hAnsi="Tahoma" w:cs="Tahoma"/>
      <w:sz w:val="16"/>
      <w:szCs w:val="16"/>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CC09F6"/>
    <w:pPr>
      <w:ind w:left="720"/>
      <w:contextualSpacing/>
    </w:pPr>
  </w:style>
  <w:style w:type="character" w:styleId="CommentReference">
    <w:name w:val="annotation reference"/>
    <w:uiPriority w:val="99"/>
    <w:semiHidden/>
    <w:unhideWhenUsed/>
    <w:rsid w:val="004851B9"/>
    <w:rPr>
      <w:sz w:val="16"/>
      <w:szCs w:val="16"/>
    </w:rPr>
  </w:style>
  <w:style w:type="paragraph" w:styleId="CommentText">
    <w:name w:val="annotation text"/>
    <w:basedOn w:val="Normal"/>
    <w:link w:val="CommentTextChar"/>
    <w:uiPriority w:val="99"/>
    <w:semiHidden/>
    <w:unhideWhenUsed/>
    <w:rsid w:val="004851B9"/>
    <w:pPr>
      <w:spacing w:line="240" w:lineRule="auto"/>
    </w:pPr>
    <w:rPr>
      <w:sz w:val="20"/>
      <w:szCs w:val="20"/>
      <w:lang w:bidi="ar-SA"/>
    </w:rPr>
  </w:style>
  <w:style w:type="character" w:customStyle="1" w:styleId="CommentTextChar">
    <w:name w:val="Comment Text Char"/>
    <w:link w:val="CommentText"/>
    <w:uiPriority w:val="99"/>
    <w:semiHidden/>
    <w:rsid w:val="004851B9"/>
    <w:rPr>
      <w:sz w:val="20"/>
      <w:szCs w:val="20"/>
    </w:rPr>
  </w:style>
  <w:style w:type="paragraph" w:styleId="CommentSubject">
    <w:name w:val="annotation subject"/>
    <w:basedOn w:val="CommentText"/>
    <w:next w:val="CommentText"/>
    <w:link w:val="CommentSubjectChar"/>
    <w:uiPriority w:val="99"/>
    <w:semiHidden/>
    <w:unhideWhenUsed/>
    <w:rsid w:val="004851B9"/>
    <w:rPr>
      <w:b/>
      <w:bCs/>
    </w:rPr>
  </w:style>
  <w:style w:type="character" w:customStyle="1" w:styleId="CommentSubjectChar">
    <w:name w:val="Comment Subject Char"/>
    <w:link w:val="CommentSubject"/>
    <w:uiPriority w:val="99"/>
    <w:semiHidden/>
    <w:rsid w:val="004851B9"/>
    <w:rPr>
      <w:b/>
      <w:bCs/>
      <w:sz w:val="20"/>
      <w:szCs w:val="20"/>
    </w:rPr>
  </w:style>
  <w:style w:type="paragraph" w:styleId="BodyText2">
    <w:name w:val="Body Text 2"/>
    <w:basedOn w:val="Normal"/>
    <w:link w:val="BodyText2Char"/>
    <w:rsid w:val="00C30F56"/>
    <w:pPr>
      <w:spacing w:after="0" w:line="240" w:lineRule="auto"/>
    </w:pPr>
    <w:rPr>
      <w:rFonts w:ascii="Arial" w:eastAsia="Times New Roman" w:hAnsi="Arial"/>
      <w:b/>
      <w:bCs/>
      <w:sz w:val="24"/>
      <w:szCs w:val="24"/>
      <w:lang w:bidi="ar-SA"/>
    </w:rPr>
  </w:style>
  <w:style w:type="character" w:customStyle="1" w:styleId="BodyText2Char">
    <w:name w:val="Body Text 2 Char"/>
    <w:link w:val="BodyText2"/>
    <w:rsid w:val="00C30F56"/>
    <w:rPr>
      <w:rFonts w:ascii="Arial" w:eastAsia="Times New Roman" w:hAnsi="Arial" w:cs="Arial"/>
      <w:b/>
      <w:bCs/>
      <w:sz w:val="24"/>
      <w:szCs w:val="24"/>
      <w:lang w:val="fr-FR"/>
    </w:rPr>
  </w:style>
  <w:style w:type="paragraph" w:styleId="Header">
    <w:name w:val="header"/>
    <w:basedOn w:val="Normal"/>
    <w:link w:val="HeaderChar"/>
    <w:uiPriority w:val="99"/>
    <w:unhideWhenUsed/>
    <w:rsid w:val="003A54A5"/>
    <w:pPr>
      <w:tabs>
        <w:tab w:val="center" w:pos="4680"/>
        <w:tab w:val="right" w:pos="9360"/>
      </w:tabs>
      <w:spacing w:after="0" w:line="240" w:lineRule="auto"/>
    </w:pPr>
    <w:rPr>
      <w:sz w:val="20"/>
      <w:szCs w:val="20"/>
      <w:lang w:bidi="ar-SA"/>
    </w:rPr>
  </w:style>
  <w:style w:type="character" w:customStyle="1" w:styleId="HeaderChar">
    <w:name w:val="Header Char"/>
    <w:link w:val="Header"/>
    <w:uiPriority w:val="99"/>
    <w:rsid w:val="003A54A5"/>
    <w:rPr>
      <w:lang w:val="fr-FR"/>
    </w:rPr>
  </w:style>
  <w:style w:type="paragraph" w:styleId="Footer">
    <w:name w:val="footer"/>
    <w:basedOn w:val="Normal"/>
    <w:link w:val="FooterChar"/>
    <w:uiPriority w:val="99"/>
    <w:unhideWhenUsed/>
    <w:rsid w:val="003A54A5"/>
    <w:pPr>
      <w:tabs>
        <w:tab w:val="center" w:pos="4680"/>
        <w:tab w:val="right" w:pos="9360"/>
      </w:tabs>
      <w:spacing w:after="0" w:line="240" w:lineRule="auto"/>
    </w:pPr>
    <w:rPr>
      <w:sz w:val="20"/>
      <w:szCs w:val="20"/>
      <w:lang w:bidi="ar-SA"/>
    </w:rPr>
  </w:style>
  <w:style w:type="character" w:customStyle="1" w:styleId="FooterChar">
    <w:name w:val="Footer Char"/>
    <w:link w:val="Footer"/>
    <w:uiPriority w:val="99"/>
    <w:rsid w:val="003A54A5"/>
    <w:rPr>
      <w:lang w:val="fr-FR"/>
    </w:rPr>
  </w:style>
  <w:style w:type="paragraph" w:styleId="Title">
    <w:name w:val="Title"/>
    <w:basedOn w:val="Normal"/>
    <w:link w:val="TitleChar"/>
    <w:qFormat/>
    <w:rsid w:val="00413567"/>
    <w:pPr>
      <w:spacing w:after="0" w:line="240" w:lineRule="auto"/>
      <w:jc w:val="center"/>
    </w:pPr>
    <w:rPr>
      <w:rFonts w:ascii="Arial" w:eastAsia="Times New Roman" w:hAnsi="Arial"/>
      <w:b/>
      <w:bCs/>
      <w:sz w:val="24"/>
      <w:szCs w:val="24"/>
      <w:lang w:bidi="ar-SA"/>
    </w:rPr>
  </w:style>
  <w:style w:type="character" w:customStyle="1" w:styleId="TitleChar">
    <w:name w:val="Title Char"/>
    <w:link w:val="Title"/>
    <w:rsid w:val="00413567"/>
    <w:rPr>
      <w:rFonts w:ascii="Arial" w:eastAsia="Times New Roman" w:hAnsi="Arial" w:cs="Arial"/>
      <w:b/>
      <w:bCs/>
      <w:sz w:val="24"/>
      <w:szCs w:val="24"/>
      <w:lang w:val="fr-FR"/>
    </w:rPr>
  </w:style>
  <w:style w:type="table" w:styleId="TableGrid">
    <w:name w:val="Table Grid"/>
    <w:basedOn w:val="TableNormal"/>
    <w:uiPriority w:val="59"/>
    <w:rsid w:val="00456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404F"/>
    <w:rPr>
      <w:color w:val="0000FF" w:themeColor="hyperlink"/>
      <w:u w:val="single"/>
    </w:rPr>
  </w:style>
  <w:style w:type="paragraph" w:styleId="Subtitle">
    <w:name w:val="Subtitle"/>
    <w:basedOn w:val="Normal"/>
    <w:next w:val="Normal"/>
    <w:link w:val="SubtitleChar"/>
    <w:uiPriority w:val="11"/>
    <w:qFormat/>
    <w:rsid w:val="00B53DC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B53DC5"/>
    <w:rPr>
      <w:rFonts w:asciiTheme="minorHAnsi" w:eastAsiaTheme="minorEastAsia" w:hAnsiTheme="minorHAnsi" w:cstheme="minorBidi"/>
      <w:color w:val="5A5A5A" w:themeColor="text1" w:themeTint="A5"/>
      <w:spacing w:val="15"/>
      <w:sz w:val="22"/>
      <w:szCs w:val="22"/>
      <w:lang w:val="fr-FR" w:eastAsia="fr-FR" w:bidi="fr-FR"/>
    </w:rPr>
  </w:style>
  <w:style w:type="character" w:customStyle="1" w:styleId="Heading1Char">
    <w:name w:val="Heading 1 Char"/>
    <w:basedOn w:val="DefaultParagraphFont"/>
    <w:link w:val="Heading1"/>
    <w:rsid w:val="00B14CAE"/>
    <w:rPr>
      <w:rFonts w:ascii="Cambria" w:eastAsia="Times New Roman" w:hAnsi="Cambria"/>
      <w:b/>
      <w:bCs/>
      <w:kern w:val="32"/>
      <w:sz w:val="32"/>
      <w:szCs w:val="32"/>
      <w:lang w:val="en-GB" w:eastAsia="x-none"/>
    </w:rPr>
  </w:style>
  <w:style w:type="character" w:customStyle="1" w:styleId="Heading6Char">
    <w:name w:val="Heading 6 Char"/>
    <w:basedOn w:val="DefaultParagraphFont"/>
    <w:link w:val="Heading6"/>
    <w:rsid w:val="00B14CAE"/>
    <w:rPr>
      <w:rFonts w:asciiTheme="majorHAnsi" w:eastAsiaTheme="majorEastAsia" w:hAnsiTheme="majorHAnsi" w:cstheme="majorBidi"/>
      <w:color w:val="243F60" w:themeColor="accent1" w:themeShade="7F"/>
      <w:sz w:val="24"/>
      <w:szCs w:val="24"/>
      <w:bdr w:val="nil"/>
      <w:lang w:val="en-GB"/>
    </w:rPr>
  </w:style>
  <w:style w:type="character" w:customStyle="1" w:styleId="NoSpacingChar">
    <w:name w:val="No Spacing Char"/>
    <w:link w:val="NoSpacing"/>
    <w:uiPriority w:val="1"/>
    <w:rsid w:val="00B14CAE"/>
    <w:rPr>
      <w:rFonts w:ascii="Arial" w:hAnsi="Arial" w:cs="Arial"/>
      <w:bCs/>
      <w:sz w:val="22"/>
      <w:szCs w:val="22"/>
      <w:lang w:val="fr-FR" w:eastAsia="fr-FR" w:bidi="fr-FR"/>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locked/>
    <w:rsid w:val="00B14CAE"/>
    <w:rPr>
      <w:sz w:val="22"/>
      <w:szCs w:val="22"/>
      <w:lang w:val="fr-FR" w:eastAsia="fr-FR" w:bidi="fr-FR"/>
    </w:rPr>
  </w:style>
  <w:style w:type="paragraph" w:styleId="NormalWeb">
    <w:name w:val="Normal (Web)"/>
    <w:basedOn w:val="Normal"/>
    <w:uiPriority w:val="99"/>
    <w:semiHidden/>
    <w:unhideWhenUsed/>
    <w:rsid w:val="003317FC"/>
    <w:pPr>
      <w:spacing w:before="100" w:beforeAutospacing="1" w:after="100" w:afterAutospacing="1" w:line="240" w:lineRule="auto"/>
    </w:pPr>
    <w:rPr>
      <w:rFonts w:ascii="Times New Roman" w:eastAsia="Times New Roman" w:hAnsi="Times New Roman"/>
      <w:sz w:val="24"/>
      <w:szCs w:val="24"/>
      <w:lang w:val="en-US" w:eastAsia="en-US" w:bidi="ar-SA"/>
    </w:rPr>
  </w:style>
  <w:style w:type="paragraph" w:styleId="FootnoteText">
    <w:name w:val="footnote text"/>
    <w:basedOn w:val="Normal"/>
    <w:link w:val="FootnoteTextChar"/>
    <w:uiPriority w:val="99"/>
    <w:semiHidden/>
    <w:unhideWhenUsed/>
    <w:rsid w:val="00444D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4D24"/>
    <w:rPr>
      <w:lang w:val="fr-FR" w:eastAsia="fr-FR" w:bidi="fr-FR"/>
    </w:rPr>
  </w:style>
  <w:style w:type="character" w:styleId="FootnoteReference">
    <w:name w:val="footnote reference"/>
    <w:basedOn w:val="DefaultParagraphFont"/>
    <w:uiPriority w:val="99"/>
    <w:semiHidden/>
    <w:unhideWhenUsed/>
    <w:rsid w:val="00444D24"/>
    <w:rPr>
      <w:vertAlign w:val="superscript"/>
    </w:rPr>
  </w:style>
  <w:style w:type="paragraph" w:styleId="Caption">
    <w:name w:val="caption"/>
    <w:basedOn w:val="Normal"/>
    <w:next w:val="Normal"/>
    <w:uiPriority w:val="35"/>
    <w:unhideWhenUsed/>
    <w:qFormat/>
    <w:rsid w:val="00817708"/>
    <w:pPr>
      <w:spacing w:line="240" w:lineRule="auto"/>
    </w:pPr>
    <w:rPr>
      <w:i/>
      <w:iCs/>
      <w:color w:val="1F497D" w:themeColor="text2"/>
      <w:sz w:val="18"/>
      <w:szCs w:val="18"/>
    </w:rPr>
  </w:style>
  <w:style w:type="paragraph" w:styleId="TOCHeading">
    <w:name w:val="TOC Heading"/>
    <w:basedOn w:val="Heading1"/>
    <w:next w:val="Normal"/>
    <w:uiPriority w:val="39"/>
    <w:unhideWhenUsed/>
    <w:qFormat/>
    <w:rsid w:val="00572F4C"/>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paragraph" w:styleId="TOC1">
    <w:name w:val="toc 1"/>
    <w:basedOn w:val="Normal"/>
    <w:next w:val="Normal"/>
    <w:autoRedefine/>
    <w:uiPriority w:val="39"/>
    <w:unhideWhenUsed/>
    <w:rsid w:val="00572F4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7116">
      <w:bodyDiv w:val="1"/>
      <w:marLeft w:val="0"/>
      <w:marRight w:val="0"/>
      <w:marTop w:val="0"/>
      <w:marBottom w:val="0"/>
      <w:divBdr>
        <w:top w:val="none" w:sz="0" w:space="0" w:color="auto"/>
        <w:left w:val="none" w:sz="0" w:space="0" w:color="auto"/>
        <w:bottom w:val="none" w:sz="0" w:space="0" w:color="auto"/>
        <w:right w:val="none" w:sz="0" w:space="0" w:color="auto"/>
      </w:divBdr>
    </w:div>
    <w:div w:id="183978705">
      <w:bodyDiv w:val="1"/>
      <w:marLeft w:val="0"/>
      <w:marRight w:val="0"/>
      <w:marTop w:val="0"/>
      <w:marBottom w:val="0"/>
      <w:divBdr>
        <w:top w:val="none" w:sz="0" w:space="0" w:color="auto"/>
        <w:left w:val="none" w:sz="0" w:space="0" w:color="auto"/>
        <w:bottom w:val="none" w:sz="0" w:space="0" w:color="auto"/>
        <w:right w:val="none" w:sz="0" w:space="0" w:color="auto"/>
      </w:divBdr>
    </w:div>
    <w:div w:id="282999809">
      <w:bodyDiv w:val="1"/>
      <w:marLeft w:val="0"/>
      <w:marRight w:val="0"/>
      <w:marTop w:val="0"/>
      <w:marBottom w:val="0"/>
      <w:divBdr>
        <w:top w:val="none" w:sz="0" w:space="0" w:color="auto"/>
        <w:left w:val="none" w:sz="0" w:space="0" w:color="auto"/>
        <w:bottom w:val="none" w:sz="0" w:space="0" w:color="auto"/>
        <w:right w:val="none" w:sz="0" w:space="0" w:color="auto"/>
      </w:divBdr>
    </w:div>
    <w:div w:id="360596847">
      <w:bodyDiv w:val="1"/>
      <w:marLeft w:val="0"/>
      <w:marRight w:val="0"/>
      <w:marTop w:val="0"/>
      <w:marBottom w:val="0"/>
      <w:divBdr>
        <w:top w:val="none" w:sz="0" w:space="0" w:color="auto"/>
        <w:left w:val="none" w:sz="0" w:space="0" w:color="auto"/>
        <w:bottom w:val="none" w:sz="0" w:space="0" w:color="auto"/>
        <w:right w:val="none" w:sz="0" w:space="0" w:color="auto"/>
      </w:divBdr>
    </w:div>
    <w:div w:id="484510935">
      <w:bodyDiv w:val="1"/>
      <w:marLeft w:val="0"/>
      <w:marRight w:val="0"/>
      <w:marTop w:val="0"/>
      <w:marBottom w:val="0"/>
      <w:divBdr>
        <w:top w:val="none" w:sz="0" w:space="0" w:color="auto"/>
        <w:left w:val="none" w:sz="0" w:space="0" w:color="auto"/>
        <w:bottom w:val="none" w:sz="0" w:space="0" w:color="auto"/>
        <w:right w:val="none" w:sz="0" w:space="0" w:color="auto"/>
      </w:divBdr>
    </w:div>
    <w:div w:id="582303697">
      <w:bodyDiv w:val="1"/>
      <w:marLeft w:val="0"/>
      <w:marRight w:val="0"/>
      <w:marTop w:val="0"/>
      <w:marBottom w:val="0"/>
      <w:divBdr>
        <w:top w:val="none" w:sz="0" w:space="0" w:color="auto"/>
        <w:left w:val="none" w:sz="0" w:space="0" w:color="auto"/>
        <w:bottom w:val="none" w:sz="0" w:space="0" w:color="auto"/>
        <w:right w:val="none" w:sz="0" w:space="0" w:color="auto"/>
      </w:divBdr>
    </w:div>
    <w:div w:id="638805698">
      <w:bodyDiv w:val="1"/>
      <w:marLeft w:val="0"/>
      <w:marRight w:val="0"/>
      <w:marTop w:val="0"/>
      <w:marBottom w:val="0"/>
      <w:divBdr>
        <w:top w:val="none" w:sz="0" w:space="0" w:color="auto"/>
        <w:left w:val="none" w:sz="0" w:space="0" w:color="auto"/>
        <w:bottom w:val="none" w:sz="0" w:space="0" w:color="auto"/>
        <w:right w:val="none" w:sz="0" w:space="0" w:color="auto"/>
      </w:divBdr>
    </w:div>
    <w:div w:id="673189087">
      <w:bodyDiv w:val="1"/>
      <w:marLeft w:val="0"/>
      <w:marRight w:val="0"/>
      <w:marTop w:val="0"/>
      <w:marBottom w:val="0"/>
      <w:divBdr>
        <w:top w:val="none" w:sz="0" w:space="0" w:color="auto"/>
        <w:left w:val="none" w:sz="0" w:space="0" w:color="auto"/>
        <w:bottom w:val="none" w:sz="0" w:space="0" w:color="auto"/>
        <w:right w:val="none" w:sz="0" w:space="0" w:color="auto"/>
      </w:divBdr>
    </w:div>
    <w:div w:id="914703348">
      <w:bodyDiv w:val="1"/>
      <w:marLeft w:val="0"/>
      <w:marRight w:val="0"/>
      <w:marTop w:val="0"/>
      <w:marBottom w:val="0"/>
      <w:divBdr>
        <w:top w:val="none" w:sz="0" w:space="0" w:color="auto"/>
        <w:left w:val="none" w:sz="0" w:space="0" w:color="auto"/>
        <w:bottom w:val="none" w:sz="0" w:space="0" w:color="auto"/>
        <w:right w:val="none" w:sz="0" w:space="0" w:color="auto"/>
      </w:divBdr>
    </w:div>
    <w:div w:id="1003970812">
      <w:bodyDiv w:val="1"/>
      <w:marLeft w:val="0"/>
      <w:marRight w:val="0"/>
      <w:marTop w:val="0"/>
      <w:marBottom w:val="0"/>
      <w:divBdr>
        <w:top w:val="none" w:sz="0" w:space="0" w:color="auto"/>
        <w:left w:val="none" w:sz="0" w:space="0" w:color="auto"/>
        <w:bottom w:val="none" w:sz="0" w:space="0" w:color="auto"/>
        <w:right w:val="none" w:sz="0" w:space="0" w:color="auto"/>
      </w:divBdr>
    </w:div>
    <w:div w:id="1060859022">
      <w:bodyDiv w:val="1"/>
      <w:marLeft w:val="0"/>
      <w:marRight w:val="0"/>
      <w:marTop w:val="0"/>
      <w:marBottom w:val="0"/>
      <w:divBdr>
        <w:top w:val="none" w:sz="0" w:space="0" w:color="auto"/>
        <w:left w:val="none" w:sz="0" w:space="0" w:color="auto"/>
        <w:bottom w:val="none" w:sz="0" w:space="0" w:color="auto"/>
        <w:right w:val="none" w:sz="0" w:space="0" w:color="auto"/>
      </w:divBdr>
    </w:div>
    <w:div w:id="1103454540">
      <w:bodyDiv w:val="1"/>
      <w:marLeft w:val="0"/>
      <w:marRight w:val="0"/>
      <w:marTop w:val="0"/>
      <w:marBottom w:val="0"/>
      <w:divBdr>
        <w:top w:val="none" w:sz="0" w:space="0" w:color="auto"/>
        <w:left w:val="none" w:sz="0" w:space="0" w:color="auto"/>
        <w:bottom w:val="none" w:sz="0" w:space="0" w:color="auto"/>
        <w:right w:val="none" w:sz="0" w:space="0" w:color="auto"/>
      </w:divBdr>
    </w:div>
    <w:div w:id="1109734953">
      <w:bodyDiv w:val="1"/>
      <w:marLeft w:val="0"/>
      <w:marRight w:val="0"/>
      <w:marTop w:val="0"/>
      <w:marBottom w:val="0"/>
      <w:divBdr>
        <w:top w:val="none" w:sz="0" w:space="0" w:color="auto"/>
        <w:left w:val="none" w:sz="0" w:space="0" w:color="auto"/>
        <w:bottom w:val="none" w:sz="0" w:space="0" w:color="auto"/>
        <w:right w:val="none" w:sz="0" w:space="0" w:color="auto"/>
      </w:divBdr>
    </w:div>
    <w:div w:id="1118060614">
      <w:bodyDiv w:val="1"/>
      <w:marLeft w:val="0"/>
      <w:marRight w:val="0"/>
      <w:marTop w:val="0"/>
      <w:marBottom w:val="0"/>
      <w:divBdr>
        <w:top w:val="none" w:sz="0" w:space="0" w:color="auto"/>
        <w:left w:val="none" w:sz="0" w:space="0" w:color="auto"/>
        <w:bottom w:val="none" w:sz="0" w:space="0" w:color="auto"/>
        <w:right w:val="none" w:sz="0" w:space="0" w:color="auto"/>
      </w:divBdr>
    </w:div>
    <w:div w:id="1130637105">
      <w:bodyDiv w:val="1"/>
      <w:marLeft w:val="0"/>
      <w:marRight w:val="0"/>
      <w:marTop w:val="0"/>
      <w:marBottom w:val="0"/>
      <w:divBdr>
        <w:top w:val="none" w:sz="0" w:space="0" w:color="auto"/>
        <w:left w:val="none" w:sz="0" w:space="0" w:color="auto"/>
        <w:bottom w:val="none" w:sz="0" w:space="0" w:color="auto"/>
        <w:right w:val="none" w:sz="0" w:space="0" w:color="auto"/>
      </w:divBdr>
    </w:div>
    <w:div w:id="1162740350">
      <w:bodyDiv w:val="1"/>
      <w:marLeft w:val="0"/>
      <w:marRight w:val="0"/>
      <w:marTop w:val="0"/>
      <w:marBottom w:val="0"/>
      <w:divBdr>
        <w:top w:val="none" w:sz="0" w:space="0" w:color="auto"/>
        <w:left w:val="none" w:sz="0" w:space="0" w:color="auto"/>
        <w:bottom w:val="none" w:sz="0" w:space="0" w:color="auto"/>
        <w:right w:val="none" w:sz="0" w:space="0" w:color="auto"/>
      </w:divBdr>
    </w:div>
    <w:div w:id="1238594336">
      <w:bodyDiv w:val="1"/>
      <w:marLeft w:val="0"/>
      <w:marRight w:val="0"/>
      <w:marTop w:val="0"/>
      <w:marBottom w:val="0"/>
      <w:divBdr>
        <w:top w:val="none" w:sz="0" w:space="0" w:color="auto"/>
        <w:left w:val="none" w:sz="0" w:space="0" w:color="auto"/>
        <w:bottom w:val="none" w:sz="0" w:space="0" w:color="auto"/>
        <w:right w:val="none" w:sz="0" w:space="0" w:color="auto"/>
      </w:divBdr>
    </w:div>
    <w:div w:id="1242712485">
      <w:bodyDiv w:val="1"/>
      <w:marLeft w:val="0"/>
      <w:marRight w:val="0"/>
      <w:marTop w:val="0"/>
      <w:marBottom w:val="0"/>
      <w:divBdr>
        <w:top w:val="none" w:sz="0" w:space="0" w:color="auto"/>
        <w:left w:val="none" w:sz="0" w:space="0" w:color="auto"/>
        <w:bottom w:val="none" w:sz="0" w:space="0" w:color="auto"/>
        <w:right w:val="none" w:sz="0" w:space="0" w:color="auto"/>
      </w:divBdr>
    </w:div>
    <w:div w:id="1265385504">
      <w:bodyDiv w:val="1"/>
      <w:marLeft w:val="0"/>
      <w:marRight w:val="0"/>
      <w:marTop w:val="0"/>
      <w:marBottom w:val="0"/>
      <w:divBdr>
        <w:top w:val="none" w:sz="0" w:space="0" w:color="auto"/>
        <w:left w:val="none" w:sz="0" w:space="0" w:color="auto"/>
        <w:bottom w:val="none" w:sz="0" w:space="0" w:color="auto"/>
        <w:right w:val="none" w:sz="0" w:space="0" w:color="auto"/>
      </w:divBdr>
    </w:div>
    <w:div w:id="1272936117">
      <w:bodyDiv w:val="1"/>
      <w:marLeft w:val="0"/>
      <w:marRight w:val="0"/>
      <w:marTop w:val="0"/>
      <w:marBottom w:val="0"/>
      <w:divBdr>
        <w:top w:val="none" w:sz="0" w:space="0" w:color="auto"/>
        <w:left w:val="none" w:sz="0" w:space="0" w:color="auto"/>
        <w:bottom w:val="none" w:sz="0" w:space="0" w:color="auto"/>
        <w:right w:val="none" w:sz="0" w:space="0" w:color="auto"/>
      </w:divBdr>
    </w:div>
    <w:div w:id="1304773982">
      <w:bodyDiv w:val="1"/>
      <w:marLeft w:val="0"/>
      <w:marRight w:val="0"/>
      <w:marTop w:val="0"/>
      <w:marBottom w:val="0"/>
      <w:divBdr>
        <w:top w:val="none" w:sz="0" w:space="0" w:color="auto"/>
        <w:left w:val="none" w:sz="0" w:space="0" w:color="auto"/>
        <w:bottom w:val="none" w:sz="0" w:space="0" w:color="auto"/>
        <w:right w:val="none" w:sz="0" w:space="0" w:color="auto"/>
      </w:divBdr>
    </w:div>
    <w:div w:id="1408914593">
      <w:bodyDiv w:val="1"/>
      <w:marLeft w:val="0"/>
      <w:marRight w:val="0"/>
      <w:marTop w:val="0"/>
      <w:marBottom w:val="0"/>
      <w:divBdr>
        <w:top w:val="none" w:sz="0" w:space="0" w:color="auto"/>
        <w:left w:val="none" w:sz="0" w:space="0" w:color="auto"/>
        <w:bottom w:val="none" w:sz="0" w:space="0" w:color="auto"/>
        <w:right w:val="none" w:sz="0" w:space="0" w:color="auto"/>
      </w:divBdr>
    </w:div>
    <w:div w:id="1448500960">
      <w:bodyDiv w:val="1"/>
      <w:marLeft w:val="0"/>
      <w:marRight w:val="0"/>
      <w:marTop w:val="0"/>
      <w:marBottom w:val="0"/>
      <w:divBdr>
        <w:top w:val="none" w:sz="0" w:space="0" w:color="auto"/>
        <w:left w:val="none" w:sz="0" w:space="0" w:color="auto"/>
        <w:bottom w:val="none" w:sz="0" w:space="0" w:color="auto"/>
        <w:right w:val="none" w:sz="0" w:space="0" w:color="auto"/>
      </w:divBdr>
    </w:div>
    <w:div w:id="1510438042">
      <w:bodyDiv w:val="1"/>
      <w:marLeft w:val="0"/>
      <w:marRight w:val="0"/>
      <w:marTop w:val="0"/>
      <w:marBottom w:val="0"/>
      <w:divBdr>
        <w:top w:val="none" w:sz="0" w:space="0" w:color="auto"/>
        <w:left w:val="none" w:sz="0" w:space="0" w:color="auto"/>
        <w:bottom w:val="none" w:sz="0" w:space="0" w:color="auto"/>
        <w:right w:val="none" w:sz="0" w:space="0" w:color="auto"/>
      </w:divBdr>
    </w:div>
    <w:div w:id="1540510904">
      <w:bodyDiv w:val="1"/>
      <w:marLeft w:val="0"/>
      <w:marRight w:val="0"/>
      <w:marTop w:val="0"/>
      <w:marBottom w:val="0"/>
      <w:divBdr>
        <w:top w:val="none" w:sz="0" w:space="0" w:color="auto"/>
        <w:left w:val="none" w:sz="0" w:space="0" w:color="auto"/>
        <w:bottom w:val="none" w:sz="0" w:space="0" w:color="auto"/>
        <w:right w:val="none" w:sz="0" w:space="0" w:color="auto"/>
      </w:divBdr>
    </w:div>
    <w:div w:id="1642345649">
      <w:bodyDiv w:val="1"/>
      <w:marLeft w:val="0"/>
      <w:marRight w:val="0"/>
      <w:marTop w:val="0"/>
      <w:marBottom w:val="0"/>
      <w:divBdr>
        <w:top w:val="none" w:sz="0" w:space="0" w:color="auto"/>
        <w:left w:val="none" w:sz="0" w:space="0" w:color="auto"/>
        <w:bottom w:val="none" w:sz="0" w:space="0" w:color="auto"/>
        <w:right w:val="none" w:sz="0" w:space="0" w:color="auto"/>
      </w:divBdr>
    </w:div>
    <w:div w:id="1660187839">
      <w:bodyDiv w:val="1"/>
      <w:marLeft w:val="0"/>
      <w:marRight w:val="0"/>
      <w:marTop w:val="0"/>
      <w:marBottom w:val="0"/>
      <w:divBdr>
        <w:top w:val="none" w:sz="0" w:space="0" w:color="auto"/>
        <w:left w:val="none" w:sz="0" w:space="0" w:color="auto"/>
        <w:bottom w:val="none" w:sz="0" w:space="0" w:color="auto"/>
        <w:right w:val="none" w:sz="0" w:space="0" w:color="auto"/>
      </w:divBdr>
    </w:div>
    <w:div w:id="1689523120">
      <w:bodyDiv w:val="1"/>
      <w:marLeft w:val="0"/>
      <w:marRight w:val="0"/>
      <w:marTop w:val="0"/>
      <w:marBottom w:val="0"/>
      <w:divBdr>
        <w:top w:val="none" w:sz="0" w:space="0" w:color="auto"/>
        <w:left w:val="none" w:sz="0" w:space="0" w:color="auto"/>
        <w:bottom w:val="none" w:sz="0" w:space="0" w:color="auto"/>
        <w:right w:val="none" w:sz="0" w:space="0" w:color="auto"/>
      </w:divBdr>
    </w:div>
    <w:div w:id="1797022055">
      <w:bodyDiv w:val="1"/>
      <w:marLeft w:val="0"/>
      <w:marRight w:val="0"/>
      <w:marTop w:val="0"/>
      <w:marBottom w:val="0"/>
      <w:divBdr>
        <w:top w:val="none" w:sz="0" w:space="0" w:color="auto"/>
        <w:left w:val="none" w:sz="0" w:space="0" w:color="auto"/>
        <w:bottom w:val="none" w:sz="0" w:space="0" w:color="auto"/>
        <w:right w:val="none" w:sz="0" w:space="0" w:color="auto"/>
      </w:divBdr>
    </w:div>
    <w:div w:id="1864199508">
      <w:bodyDiv w:val="1"/>
      <w:marLeft w:val="0"/>
      <w:marRight w:val="0"/>
      <w:marTop w:val="0"/>
      <w:marBottom w:val="0"/>
      <w:divBdr>
        <w:top w:val="none" w:sz="0" w:space="0" w:color="auto"/>
        <w:left w:val="none" w:sz="0" w:space="0" w:color="auto"/>
        <w:bottom w:val="none" w:sz="0" w:space="0" w:color="auto"/>
        <w:right w:val="none" w:sz="0" w:space="0" w:color="auto"/>
      </w:divBdr>
    </w:div>
    <w:div w:id="1976131441">
      <w:bodyDiv w:val="1"/>
      <w:marLeft w:val="0"/>
      <w:marRight w:val="0"/>
      <w:marTop w:val="0"/>
      <w:marBottom w:val="0"/>
      <w:divBdr>
        <w:top w:val="none" w:sz="0" w:space="0" w:color="auto"/>
        <w:left w:val="none" w:sz="0" w:space="0" w:color="auto"/>
        <w:bottom w:val="none" w:sz="0" w:space="0" w:color="auto"/>
        <w:right w:val="none" w:sz="0" w:space="0" w:color="auto"/>
      </w:divBdr>
    </w:div>
    <w:div w:id="1979072690">
      <w:bodyDiv w:val="1"/>
      <w:marLeft w:val="0"/>
      <w:marRight w:val="0"/>
      <w:marTop w:val="0"/>
      <w:marBottom w:val="0"/>
      <w:divBdr>
        <w:top w:val="none" w:sz="0" w:space="0" w:color="auto"/>
        <w:left w:val="none" w:sz="0" w:space="0" w:color="auto"/>
        <w:bottom w:val="none" w:sz="0" w:space="0" w:color="auto"/>
        <w:right w:val="none" w:sz="0" w:space="0" w:color="auto"/>
      </w:divBdr>
    </w:div>
    <w:div w:id="1984044345">
      <w:bodyDiv w:val="1"/>
      <w:marLeft w:val="0"/>
      <w:marRight w:val="0"/>
      <w:marTop w:val="0"/>
      <w:marBottom w:val="0"/>
      <w:divBdr>
        <w:top w:val="none" w:sz="0" w:space="0" w:color="auto"/>
        <w:left w:val="none" w:sz="0" w:space="0" w:color="auto"/>
        <w:bottom w:val="none" w:sz="0" w:space="0" w:color="auto"/>
        <w:right w:val="none" w:sz="0" w:space="0" w:color="auto"/>
      </w:divBdr>
      <w:divsChild>
        <w:div w:id="324213769">
          <w:marLeft w:val="0"/>
          <w:marRight w:val="0"/>
          <w:marTop w:val="0"/>
          <w:marBottom w:val="0"/>
          <w:divBdr>
            <w:top w:val="none" w:sz="0" w:space="0" w:color="auto"/>
            <w:left w:val="none" w:sz="0" w:space="0" w:color="auto"/>
            <w:bottom w:val="none" w:sz="0" w:space="0" w:color="auto"/>
            <w:right w:val="none" w:sz="0" w:space="0" w:color="auto"/>
          </w:divBdr>
        </w:div>
        <w:div w:id="569971426">
          <w:marLeft w:val="0"/>
          <w:marRight w:val="0"/>
          <w:marTop w:val="0"/>
          <w:marBottom w:val="0"/>
          <w:divBdr>
            <w:top w:val="none" w:sz="0" w:space="0" w:color="auto"/>
            <w:left w:val="none" w:sz="0" w:space="0" w:color="auto"/>
            <w:bottom w:val="none" w:sz="0" w:space="0" w:color="auto"/>
            <w:right w:val="none" w:sz="0" w:space="0" w:color="auto"/>
          </w:divBdr>
        </w:div>
        <w:div w:id="574507755">
          <w:marLeft w:val="0"/>
          <w:marRight w:val="0"/>
          <w:marTop w:val="0"/>
          <w:marBottom w:val="0"/>
          <w:divBdr>
            <w:top w:val="none" w:sz="0" w:space="0" w:color="auto"/>
            <w:left w:val="none" w:sz="0" w:space="0" w:color="auto"/>
            <w:bottom w:val="none" w:sz="0" w:space="0" w:color="auto"/>
            <w:right w:val="none" w:sz="0" w:space="0" w:color="auto"/>
          </w:divBdr>
        </w:div>
        <w:div w:id="579752883">
          <w:marLeft w:val="0"/>
          <w:marRight w:val="0"/>
          <w:marTop w:val="0"/>
          <w:marBottom w:val="0"/>
          <w:divBdr>
            <w:top w:val="none" w:sz="0" w:space="0" w:color="auto"/>
            <w:left w:val="none" w:sz="0" w:space="0" w:color="auto"/>
            <w:bottom w:val="none" w:sz="0" w:space="0" w:color="auto"/>
            <w:right w:val="none" w:sz="0" w:space="0" w:color="auto"/>
          </w:divBdr>
        </w:div>
        <w:div w:id="723604997">
          <w:marLeft w:val="0"/>
          <w:marRight w:val="0"/>
          <w:marTop w:val="0"/>
          <w:marBottom w:val="0"/>
          <w:divBdr>
            <w:top w:val="none" w:sz="0" w:space="0" w:color="auto"/>
            <w:left w:val="none" w:sz="0" w:space="0" w:color="auto"/>
            <w:bottom w:val="none" w:sz="0" w:space="0" w:color="auto"/>
            <w:right w:val="none" w:sz="0" w:space="0" w:color="auto"/>
          </w:divBdr>
        </w:div>
        <w:div w:id="904416603">
          <w:marLeft w:val="0"/>
          <w:marRight w:val="0"/>
          <w:marTop w:val="0"/>
          <w:marBottom w:val="0"/>
          <w:divBdr>
            <w:top w:val="none" w:sz="0" w:space="0" w:color="auto"/>
            <w:left w:val="none" w:sz="0" w:space="0" w:color="auto"/>
            <w:bottom w:val="none" w:sz="0" w:space="0" w:color="auto"/>
            <w:right w:val="none" w:sz="0" w:space="0" w:color="auto"/>
          </w:divBdr>
        </w:div>
        <w:div w:id="966005969">
          <w:marLeft w:val="0"/>
          <w:marRight w:val="0"/>
          <w:marTop w:val="0"/>
          <w:marBottom w:val="0"/>
          <w:divBdr>
            <w:top w:val="none" w:sz="0" w:space="0" w:color="auto"/>
            <w:left w:val="none" w:sz="0" w:space="0" w:color="auto"/>
            <w:bottom w:val="none" w:sz="0" w:space="0" w:color="auto"/>
            <w:right w:val="none" w:sz="0" w:space="0" w:color="auto"/>
          </w:divBdr>
        </w:div>
        <w:div w:id="1027145903">
          <w:marLeft w:val="0"/>
          <w:marRight w:val="0"/>
          <w:marTop w:val="0"/>
          <w:marBottom w:val="0"/>
          <w:divBdr>
            <w:top w:val="none" w:sz="0" w:space="0" w:color="auto"/>
            <w:left w:val="none" w:sz="0" w:space="0" w:color="auto"/>
            <w:bottom w:val="none" w:sz="0" w:space="0" w:color="auto"/>
            <w:right w:val="none" w:sz="0" w:space="0" w:color="auto"/>
          </w:divBdr>
        </w:div>
        <w:div w:id="1869171934">
          <w:marLeft w:val="0"/>
          <w:marRight w:val="0"/>
          <w:marTop w:val="0"/>
          <w:marBottom w:val="0"/>
          <w:divBdr>
            <w:top w:val="none" w:sz="0" w:space="0" w:color="auto"/>
            <w:left w:val="none" w:sz="0" w:space="0" w:color="auto"/>
            <w:bottom w:val="none" w:sz="0" w:space="0" w:color="auto"/>
            <w:right w:val="none" w:sz="0" w:space="0" w:color="auto"/>
          </w:divBdr>
        </w:div>
      </w:divsChild>
    </w:div>
    <w:div w:id="210391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Sheet1!$L$2</c:f>
              <c:strCache>
                <c:ptCount val="1"/>
                <c:pt idx="0">
                  <c:v>GDP</c:v>
                </c:pt>
              </c:strCache>
            </c:strRef>
          </c:tx>
          <c:spPr>
            <a:ln w="28575" cap="rnd">
              <a:solidFill>
                <a:schemeClr val="accent1"/>
              </a:solidFill>
              <a:round/>
            </a:ln>
            <a:effectLst/>
          </c:spPr>
          <c:marker>
            <c:symbol val="none"/>
          </c:marker>
          <c:dPt>
            <c:idx val="1"/>
            <c:marker>
              <c:symbol val="none"/>
            </c:marker>
            <c:bubble3D val="0"/>
            <c:extLst>
              <c:ext xmlns:c16="http://schemas.microsoft.com/office/drawing/2014/chart" uri="{C3380CC4-5D6E-409C-BE32-E72D297353CC}">
                <c16:uniqueId val="{00000001-6CF2-4529-B90D-E61397B644E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Sheet1!$K$3:$K$9</c:f>
              <c:strCache>
                <c:ptCount val="7"/>
                <c:pt idx="0">
                  <c:v>2016</c:v>
                </c:pt>
                <c:pt idx="1">
                  <c:v>2017</c:v>
                </c:pt>
                <c:pt idx="2">
                  <c:v>2018</c:v>
                </c:pt>
                <c:pt idx="3">
                  <c:v>2019</c:v>
                </c:pt>
                <c:pt idx="4">
                  <c:v>2020</c:v>
                </c:pt>
                <c:pt idx="5">
                  <c:v>2021p</c:v>
                </c:pt>
                <c:pt idx="6">
                  <c:v>2022p</c:v>
                </c:pt>
              </c:strCache>
            </c:strRef>
          </c:cat>
          <c:val>
            <c:numRef>
              <c:f>Sheet1!$L$3:$L$9</c:f>
              <c:numCache>
                <c:formatCode>General</c:formatCode>
                <c:ptCount val="7"/>
                <c:pt idx="0">
                  <c:v>6.2</c:v>
                </c:pt>
                <c:pt idx="1">
                  <c:v>5.7</c:v>
                </c:pt>
                <c:pt idx="2">
                  <c:v>6</c:v>
                </c:pt>
                <c:pt idx="3">
                  <c:v>5.6</c:v>
                </c:pt>
                <c:pt idx="4">
                  <c:v>0.2</c:v>
                </c:pt>
                <c:pt idx="5">
                  <c:v>4.3</c:v>
                </c:pt>
                <c:pt idx="6">
                  <c:v>6</c:v>
                </c:pt>
              </c:numCache>
            </c:numRef>
          </c:val>
          <c:smooth val="0"/>
          <c:extLst>
            <c:ext xmlns:c16="http://schemas.microsoft.com/office/drawing/2014/chart" uri="{C3380CC4-5D6E-409C-BE32-E72D297353CC}">
              <c16:uniqueId val="{00000000-6CF2-4529-B90D-E61397B644E3}"/>
            </c:ext>
          </c:extLst>
        </c:ser>
        <c:dLbls>
          <c:showLegendKey val="0"/>
          <c:showVal val="0"/>
          <c:showCatName val="0"/>
          <c:showSerName val="0"/>
          <c:showPercent val="0"/>
          <c:showBubbleSize val="0"/>
        </c:dLbls>
        <c:smooth val="0"/>
        <c:axId val="144220479"/>
        <c:axId val="144223391"/>
      </c:lineChart>
      <c:catAx>
        <c:axId val="1442204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223391"/>
        <c:crosses val="autoZero"/>
        <c:auto val="1"/>
        <c:lblAlgn val="ctr"/>
        <c:lblOffset val="100"/>
        <c:noMultiLvlLbl val="0"/>
      </c:catAx>
      <c:valAx>
        <c:axId val="14422339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22047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914260717410336E-2"/>
          <c:y val="5.0925925925925923E-2"/>
          <c:w val="0.90286351706036749"/>
          <c:h val="0.8416746864975212"/>
        </c:manualLayout>
      </c:layout>
      <c:lineChart>
        <c:grouping val="standard"/>
        <c:varyColors val="0"/>
        <c:ser>
          <c:idx val="0"/>
          <c:order val="0"/>
          <c:tx>
            <c:strRef>
              <c:f>Sheet1!$L$58</c:f>
              <c:strCache>
                <c:ptCount val="1"/>
                <c:pt idx="0">
                  <c:v>cpi</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Sheet1!$K$59:$K$64</c:f>
              <c:strCache>
                <c:ptCount val="6"/>
                <c:pt idx="0">
                  <c:v>2017</c:v>
                </c:pt>
                <c:pt idx="1">
                  <c:v>2018</c:v>
                </c:pt>
                <c:pt idx="2">
                  <c:v>2019</c:v>
                </c:pt>
                <c:pt idx="3">
                  <c:v>2020</c:v>
                </c:pt>
                <c:pt idx="4">
                  <c:v>2021p</c:v>
                </c:pt>
                <c:pt idx="5">
                  <c:v>2022p</c:v>
                </c:pt>
              </c:strCache>
            </c:strRef>
          </c:cat>
          <c:val>
            <c:numRef>
              <c:f>Sheet1!$L$59:$L$64</c:f>
              <c:numCache>
                <c:formatCode>General</c:formatCode>
                <c:ptCount val="6"/>
                <c:pt idx="0">
                  <c:v>9.8000000000000007</c:v>
                </c:pt>
                <c:pt idx="1">
                  <c:v>9.5</c:v>
                </c:pt>
                <c:pt idx="2">
                  <c:v>13.5</c:v>
                </c:pt>
                <c:pt idx="3">
                  <c:v>19.100000000000001</c:v>
                </c:pt>
                <c:pt idx="4">
                  <c:v>11.4</c:v>
                </c:pt>
                <c:pt idx="5">
                  <c:v>7.4</c:v>
                </c:pt>
              </c:numCache>
            </c:numRef>
          </c:val>
          <c:smooth val="0"/>
          <c:extLst>
            <c:ext xmlns:c16="http://schemas.microsoft.com/office/drawing/2014/chart" uri="{C3380CC4-5D6E-409C-BE32-E72D297353CC}">
              <c16:uniqueId val="{00000000-FBD5-4133-A687-942711CC988D}"/>
            </c:ext>
          </c:extLst>
        </c:ser>
        <c:dLbls>
          <c:dLblPos val="ctr"/>
          <c:showLegendKey val="0"/>
          <c:showVal val="1"/>
          <c:showCatName val="0"/>
          <c:showSerName val="0"/>
          <c:showPercent val="0"/>
          <c:showBubbleSize val="0"/>
        </c:dLbls>
        <c:smooth val="0"/>
        <c:axId val="202341503"/>
        <c:axId val="202346911"/>
      </c:lineChart>
      <c:catAx>
        <c:axId val="202341503"/>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02346911"/>
        <c:crosses val="autoZero"/>
        <c:auto val="1"/>
        <c:lblAlgn val="ctr"/>
        <c:lblOffset val="100"/>
        <c:noMultiLvlLbl val="0"/>
      </c:catAx>
      <c:valAx>
        <c:axId val="202346911"/>
        <c:scaling>
          <c:orientation val="minMax"/>
          <c:max val="20"/>
          <c:min val="6"/>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0234150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Sheet1!$L$39</c:f>
              <c:strCache>
                <c:ptCount val="1"/>
                <c:pt idx="0">
                  <c:v>fd</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Sheet1!$K$40:$K$45</c:f>
              <c:strCache>
                <c:ptCount val="6"/>
                <c:pt idx="0">
                  <c:v>2017</c:v>
                </c:pt>
                <c:pt idx="1">
                  <c:v>2018</c:v>
                </c:pt>
                <c:pt idx="2">
                  <c:v>2019</c:v>
                </c:pt>
                <c:pt idx="3">
                  <c:v>2020</c:v>
                </c:pt>
                <c:pt idx="4">
                  <c:v>2021p</c:v>
                </c:pt>
                <c:pt idx="5">
                  <c:v>2022p</c:v>
                </c:pt>
              </c:strCache>
            </c:strRef>
          </c:cat>
          <c:val>
            <c:numRef>
              <c:f>Sheet1!$L$40:$L$45</c:f>
              <c:numCache>
                <c:formatCode>General</c:formatCode>
                <c:ptCount val="6"/>
                <c:pt idx="0">
                  <c:v>-4.5</c:v>
                </c:pt>
                <c:pt idx="1">
                  <c:v>-4.2</c:v>
                </c:pt>
                <c:pt idx="2">
                  <c:v>-4.8</c:v>
                </c:pt>
                <c:pt idx="3">
                  <c:v>-5.7</c:v>
                </c:pt>
                <c:pt idx="4">
                  <c:v>-5.2</c:v>
                </c:pt>
                <c:pt idx="5">
                  <c:v>-4</c:v>
                </c:pt>
              </c:numCache>
            </c:numRef>
          </c:val>
          <c:extLst>
            <c:ext xmlns:c16="http://schemas.microsoft.com/office/drawing/2014/chart" uri="{C3380CC4-5D6E-409C-BE32-E72D297353CC}">
              <c16:uniqueId val="{00000000-12E8-470A-9EFC-2CC48EB181AB}"/>
            </c:ext>
          </c:extLst>
        </c:ser>
        <c:dLbls>
          <c:dLblPos val="inEnd"/>
          <c:showLegendKey val="0"/>
          <c:showVal val="1"/>
          <c:showCatName val="0"/>
          <c:showSerName val="0"/>
          <c:showPercent val="0"/>
          <c:showBubbleSize val="0"/>
        </c:dLbls>
        <c:gapWidth val="65"/>
        <c:axId val="153060479"/>
        <c:axId val="153062143"/>
      </c:barChart>
      <c:catAx>
        <c:axId val="153060479"/>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53062143"/>
        <c:crosses val="autoZero"/>
        <c:auto val="1"/>
        <c:lblAlgn val="ctr"/>
        <c:lblOffset val="100"/>
        <c:noMultiLvlLbl val="0"/>
      </c:catAx>
      <c:valAx>
        <c:axId val="153062143"/>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53060479"/>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Sheet1!$L$49</c:f>
              <c:strCache>
                <c:ptCount val="1"/>
                <c:pt idx="0">
                  <c:v>Debt</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Sheet1!$K$50:$K$55</c:f>
              <c:strCache>
                <c:ptCount val="6"/>
                <c:pt idx="0">
                  <c:v>2010-17</c:v>
                </c:pt>
                <c:pt idx="1">
                  <c:v>2018</c:v>
                </c:pt>
                <c:pt idx="2">
                  <c:v>2019</c:v>
                </c:pt>
                <c:pt idx="3">
                  <c:v>2020</c:v>
                </c:pt>
                <c:pt idx="4">
                  <c:v>2021p</c:v>
                </c:pt>
                <c:pt idx="5">
                  <c:v>2022p</c:v>
                </c:pt>
              </c:strCache>
            </c:strRef>
          </c:cat>
          <c:val>
            <c:numRef>
              <c:f>Sheet1!$L$50:$L$55</c:f>
              <c:numCache>
                <c:formatCode>General</c:formatCode>
                <c:ptCount val="6"/>
                <c:pt idx="0">
                  <c:v>40.200000000000003</c:v>
                </c:pt>
                <c:pt idx="1">
                  <c:v>50.9</c:v>
                </c:pt>
                <c:pt idx="2">
                  <c:v>56.6</c:v>
                </c:pt>
                <c:pt idx="3">
                  <c:v>59.3</c:v>
                </c:pt>
                <c:pt idx="4">
                  <c:v>58.3</c:v>
                </c:pt>
                <c:pt idx="5">
                  <c:v>59.4</c:v>
                </c:pt>
              </c:numCache>
            </c:numRef>
          </c:val>
          <c:extLst>
            <c:ext xmlns:c16="http://schemas.microsoft.com/office/drawing/2014/chart" uri="{C3380CC4-5D6E-409C-BE32-E72D297353CC}">
              <c16:uniqueId val="{00000000-E3A8-442E-B6A5-07FBCD4704BA}"/>
            </c:ext>
          </c:extLst>
        </c:ser>
        <c:dLbls>
          <c:showLegendKey val="0"/>
          <c:showVal val="0"/>
          <c:showCatName val="0"/>
          <c:showSerName val="0"/>
          <c:showPercent val="0"/>
          <c:showBubbleSize val="0"/>
        </c:dLbls>
        <c:gapWidth val="65"/>
        <c:shape val="box"/>
        <c:axId val="202338175"/>
        <c:axId val="202344415"/>
        <c:axId val="0"/>
      </c:bar3DChart>
      <c:catAx>
        <c:axId val="202338175"/>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02344415"/>
        <c:crosses val="autoZero"/>
        <c:auto val="1"/>
        <c:lblAlgn val="ctr"/>
        <c:lblOffset val="100"/>
        <c:noMultiLvlLbl val="0"/>
      </c:catAx>
      <c:valAx>
        <c:axId val="202344415"/>
        <c:scaling>
          <c:orientation val="minMax"/>
          <c:min val="40"/>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202338175"/>
        <c:crosses val="autoZero"/>
        <c:crossBetween val="between"/>
        <c:majorUnit val="5"/>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Sheet1!$L$30</c:f>
              <c:strCache>
                <c:ptCount val="1"/>
                <c:pt idx="0">
                  <c:v>cad</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Sheet1!$K$31:$K$36</c:f>
              <c:strCache>
                <c:ptCount val="6"/>
                <c:pt idx="0">
                  <c:v>2017</c:v>
                </c:pt>
                <c:pt idx="1">
                  <c:v>2018</c:v>
                </c:pt>
                <c:pt idx="2">
                  <c:v>2019</c:v>
                </c:pt>
                <c:pt idx="3">
                  <c:v>2020</c:v>
                </c:pt>
                <c:pt idx="4">
                  <c:v>2021p</c:v>
                </c:pt>
                <c:pt idx="5">
                  <c:v>2022p</c:v>
                </c:pt>
              </c:strCache>
            </c:strRef>
          </c:cat>
          <c:val>
            <c:numRef>
              <c:f>Sheet1!$L$31:$L$36</c:f>
              <c:numCache>
                <c:formatCode>General</c:formatCode>
                <c:ptCount val="6"/>
                <c:pt idx="0">
                  <c:v>-5.4</c:v>
                </c:pt>
                <c:pt idx="1">
                  <c:v>-5.4</c:v>
                </c:pt>
                <c:pt idx="2">
                  <c:v>-4.7</c:v>
                </c:pt>
                <c:pt idx="3">
                  <c:v>-4.9000000000000004</c:v>
                </c:pt>
                <c:pt idx="4">
                  <c:v>-4.5</c:v>
                </c:pt>
                <c:pt idx="5">
                  <c:v>-4.3</c:v>
                </c:pt>
              </c:numCache>
            </c:numRef>
          </c:val>
          <c:extLst>
            <c:ext xmlns:c16="http://schemas.microsoft.com/office/drawing/2014/chart" uri="{C3380CC4-5D6E-409C-BE32-E72D297353CC}">
              <c16:uniqueId val="{00000000-37D4-4D73-80FF-8D23CB06040A}"/>
            </c:ext>
          </c:extLst>
        </c:ser>
        <c:dLbls>
          <c:dLblPos val="inEnd"/>
          <c:showLegendKey val="0"/>
          <c:showVal val="1"/>
          <c:showCatName val="0"/>
          <c:showSerName val="0"/>
          <c:showPercent val="0"/>
          <c:showBubbleSize val="0"/>
        </c:dLbls>
        <c:gapWidth val="41"/>
        <c:axId val="146923007"/>
        <c:axId val="146929663"/>
      </c:barChart>
      <c:catAx>
        <c:axId val="146923007"/>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n-US"/>
          </a:p>
        </c:txPr>
        <c:crossAx val="146929663"/>
        <c:crosses val="autoZero"/>
        <c:auto val="1"/>
        <c:lblAlgn val="ctr"/>
        <c:lblOffset val="100"/>
        <c:noMultiLvlLbl val="0"/>
      </c:catAx>
      <c:valAx>
        <c:axId val="146929663"/>
        <c:scaling>
          <c:orientation val="minMax"/>
        </c:scaling>
        <c:delete val="1"/>
        <c:axPos val="l"/>
        <c:numFmt formatCode="General" sourceLinked="1"/>
        <c:majorTickMark val="none"/>
        <c:minorTickMark val="none"/>
        <c:tickLblPos val="nextTo"/>
        <c:crossAx val="146923007"/>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Sheet1!$L$75</c:f>
              <c:strCache>
                <c:ptCount val="1"/>
                <c:pt idx="0">
                  <c:v>Reserves</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a:sp3d contourW="9525">
              <a:contourClr>
                <a:schemeClr val="accent2">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Sheet1!$K$76:$K$81</c:f>
              <c:strCache>
                <c:ptCount val="6"/>
                <c:pt idx="0">
                  <c:v>2017</c:v>
                </c:pt>
                <c:pt idx="1">
                  <c:v>2018</c:v>
                </c:pt>
                <c:pt idx="2">
                  <c:v>2019</c:v>
                </c:pt>
                <c:pt idx="3">
                  <c:v>2020</c:v>
                </c:pt>
                <c:pt idx="4">
                  <c:v>2021p</c:v>
                </c:pt>
                <c:pt idx="5">
                  <c:v>2022p</c:v>
                </c:pt>
              </c:strCache>
            </c:strRef>
          </c:cat>
          <c:val>
            <c:numRef>
              <c:f>Sheet1!$L$76:$L$81</c:f>
              <c:numCache>
                <c:formatCode>General</c:formatCode>
                <c:ptCount val="6"/>
                <c:pt idx="0">
                  <c:v>3</c:v>
                </c:pt>
                <c:pt idx="1">
                  <c:v>3.1</c:v>
                </c:pt>
                <c:pt idx="2">
                  <c:v>3.9</c:v>
                </c:pt>
                <c:pt idx="3">
                  <c:v>3.2</c:v>
                </c:pt>
                <c:pt idx="4">
                  <c:v>3.2</c:v>
                </c:pt>
                <c:pt idx="5">
                  <c:v>3.2</c:v>
                </c:pt>
              </c:numCache>
            </c:numRef>
          </c:val>
          <c:extLst>
            <c:ext xmlns:c16="http://schemas.microsoft.com/office/drawing/2014/chart" uri="{C3380CC4-5D6E-409C-BE32-E72D297353CC}">
              <c16:uniqueId val="{00000000-75AD-468B-97DE-082B5ABDFA60}"/>
            </c:ext>
          </c:extLst>
        </c:ser>
        <c:dLbls>
          <c:showLegendKey val="0"/>
          <c:showVal val="0"/>
          <c:showCatName val="0"/>
          <c:showSerName val="0"/>
          <c:showPercent val="0"/>
          <c:showBubbleSize val="0"/>
        </c:dLbls>
        <c:gapWidth val="150"/>
        <c:shape val="box"/>
        <c:axId val="150105471"/>
        <c:axId val="150107551"/>
        <c:axId val="0"/>
      </c:bar3DChart>
      <c:catAx>
        <c:axId val="15010547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50107551"/>
        <c:crosses val="autoZero"/>
        <c:auto val="1"/>
        <c:lblAlgn val="ctr"/>
        <c:lblOffset val="100"/>
        <c:noMultiLvlLbl val="0"/>
      </c:catAx>
      <c:valAx>
        <c:axId val="1501075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5010547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0B12A-A482-49B0-9DAD-637043636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3170</Words>
  <Characters>18075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CMI5</dc:creator>
  <cp:lastModifiedBy>Dr. Thomas Bwire</cp:lastModifiedBy>
  <cp:revision>2</cp:revision>
  <cp:lastPrinted>2020-06-12T07:40:00Z</cp:lastPrinted>
  <dcterms:created xsi:type="dcterms:W3CDTF">2021-05-06T08:36:00Z</dcterms:created>
  <dcterms:modified xsi:type="dcterms:W3CDTF">2021-05-06T08:36:00Z</dcterms:modified>
</cp:coreProperties>
</file>