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62D16" w14:textId="77777777" w:rsidR="00A50F2C" w:rsidRPr="00B6509D" w:rsidRDefault="00022B3A"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rPr>
          <w:rFonts w:cs="Arial"/>
          <w:sz w:val="22"/>
          <w:szCs w:val="22"/>
        </w:rPr>
      </w:pPr>
      <w:r w:rsidRPr="00B6509D">
        <w:rPr>
          <w:rFonts w:cs="Arial"/>
          <w:noProof/>
          <w:sz w:val="22"/>
          <w:szCs w:val="22"/>
          <w:lang w:val="en-US" w:eastAsia="en-US"/>
        </w:rPr>
        <w:drawing>
          <wp:inline distT="0" distB="0" distL="0" distR="0" wp14:anchorId="3AC4205B" wp14:editId="111A0CF1">
            <wp:extent cx="990600" cy="990600"/>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990600" cy="990600"/>
                    </a:xfrm>
                    <a:prstGeom prst="rect">
                      <a:avLst/>
                    </a:prstGeom>
                    <a:noFill/>
                    <a:ln w="9525">
                      <a:noFill/>
                      <a:miter lim="800000"/>
                      <a:headEnd/>
                      <a:tailEnd/>
                    </a:ln>
                  </pic:spPr>
                </pic:pic>
              </a:graphicData>
            </a:graphic>
          </wp:inline>
        </w:drawing>
      </w:r>
    </w:p>
    <w:p w14:paraId="084C9D41" w14:textId="77777777" w:rsidR="00A50F2C" w:rsidRPr="00B6509D" w:rsidRDefault="00A50F2C"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rPr>
          <w:rFonts w:cs="Arial"/>
          <w:sz w:val="22"/>
          <w:szCs w:val="22"/>
        </w:rPr>
      </w:pPr>
    </w:p>
    <w:p w14:paraId="7E398E8A" w14:textId="77777777" w:rsidR="00A50F2C" w:rsidRPr="00B6509D" w:rsidRDefault="00A50F2C"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rPr>
          <w:rFonts w:cs="Arial"/>
          <w:sz w:val="22"/>
          <w:szCs w:val="22"/>
        </w:rPr>
      </w:pPr>
    </w:p>
    <w:p w14:paraId="011E52BA" w14:textId="77777777" w:rsidR="002C3EB9" w:rsidRPr="00B6509D" w:rsidRDefault="002C3EB9"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jc w:val="right"/>
        <w:outlineLvl w:val="0"/>
        <w:rPr>
          <w:rFonts w:cs="Arial"/>
          <w:sz w:val="22"/>
          <w:szCs w:val="22"/>
          <w:lang w:val="en-US"/>
        </w:rPr>
      </w:pPr>
    </w:p>
    <w:p w14:paraId="0358502A" w14:textId="77777777" w:rsidR="00182767" w:rsidRPr="00B6509D" w:rsidRDefault="00182767"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outlineLvl w:val="0"/>
        <w:rPr>
          <w:rFonts w:cs="Arial"/>
          <w:b w:val="0"/>
          <w:sz w:val="22"/>
          <w:szCs w:val="22"/>
          <w:lang w:val="en-US"/>
        </w:rPr>
      </w:pPr>
    </w:p>
    <w:p w14:paraId="6E07FD46" w14:textId="77777777" w:rsidR="00A50F2C" w:rsidRPr="00B6509D" w:rsidRDefault="00A50F2C"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rPr>
          <w:rFonts w:cs="Arial"/>
          <w:sz w:val="22"/>
          <w:szCs w:val="22"/>
          <w:lang w:val="en-US"/>
        </w:rPr>
      </w:pPr>
    </w:p>
    <w:p w14:paraId="438C5D99" w14:textId="77777777" w:rsidR="007E571A" w:rsidRPr="00B6509D" w:rsidRDefault="007E571A"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jc w:val="left"/>
        <w:rPr>
          <w:rFonts w:cs="Arial"/>
          <w:sz w:val="22"/>
          <w:szCs w:val="22"/>
          <w:lang w:val="en-US"/>
        </w:rPr>
      </w:pPr>
    </w:p>
    <w:p w14:paraId="7AEF9836" w14:textId="77777777" w:rsidR="00991FFE" w:rsidRPr="00B6509D" w:rsidRDefault="00991FFE"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jc w:val="left"/>
        <w:rPr>
          <w:rFonts w:cs="Arial"/>
          <w:sz w:val="22"/>
          <w:szCs w:val="22"/>
          <w:lang w:val="en-US"/>
        </w:rPr>
      </w:pPr>
    </w:p>
    <w:p w14:paraId="54AF4375" w14:textId="77777777" w:rsidR="00991FFE" w:rsidRPr="00B6509D" w:rsidRDefault="00991FFE"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jc w:val="left"/>
        <w:rPr>
          <w:rFonts w:cs="Arial"/>
          <w:sz w:val="22"/>
          <w:szCs w:val="22"/>
          <w:lang w:val="en-US"/>
        </w:rPr>
      </w:pPr>
    </w:p>
    <w:p w14:paraId="62BBB273" w14:textId="77777777" w:rsidR="00991FFE" w:rsidRPr="00B6509D" w:rsidRDefault="00991FFE"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jc w:val="left"/>
        <w:rPr>
          <w:rFonts w:cs="Arial"/>
          <w:sz w:val="22"/>
          <w:szCs w:val="22"/>
          <w:lang w:val="en-US"/>
        </w:rPr>
      </w:pPr>
    </w:p>
    <w:p w14:paraId="55B9C28A" w14:textId="77777777" w:rsidR="00991FFE" w:rsidRPr="00B6509D" w:rsidRDefault="00991FFE"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jc w:val="left"/>
        <w:rPr>
          <w:rFonts w:cs="Arial"/>
          <w:sz w:val="22"/>
          <w:szCs w:val="22"/>
          <w:lang w:val="en-US"/>
        </w:rPr>
      </w:pPr>
    </w:p>
    <w:p w14:paraId="5268FD07" w14:textId="77777777" w:rsidR="00A50F2C" w:rsidRPr="00B6509D" w:rsidRDefault="00A50F2C"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outlineLvl w:val="0"/>
        <w:rPr>
          <w:rFonts w:cs="Arial"/>
          <w:b w:val="0"/>
          <w:bCs w:val="0"/>
          <w:sz w:val="22"/>
          <w:szCs w:val="22"/>
          <w:lang w:val="en-US"/>
        </w:rPr>
      </w:pPr>
    </w:p>
    <w:p w14:paraId="20BFC7AB" w14:textId="77777777" w:rsidR="00991FFE" w:rsidRPr="00B6509D" w:rsidRDefault="00991FFE"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outlineLvl w:val="0"/>
        <w:rPr>
          <w:rFonts w:cs="Arial"/>
          <w:b w:val="0"/>
          <w:bCs w:val="0"/>
          <w:sz w:val="22"/>
          <w:szCs w:val="22"/>
          <w:lang w:val="en-US"/>
        </w:rPr>
      </w:pPr>
    </w:p>
    <w:p w14:paraId="2BEC2484" w14:textId="77777777" w:rsidR="00A50F2C" w:rsidRPr="00B6509D" w:rsidRDefault="00A50F2C"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outlineLvl w:val="0"/>
        <w:rPr>
          <w:rFonts w:cs="Arial"/>
          <w:b w:val="0"/>
          <w:bCs w:val="0"/>
          <w:sz w:val="22"/>
          <w:szCs w:val="22"/>
          <w:lang w:val="en-US"/>
        </w:rPr>
      </w:pPr>
    </w:p>
    <w:p w14:paraId="1D41B306" w14:textId="2A5F78D1" w:rsidR="00A50F2C" w:rsidRDefault="002C3EB9"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outlineLvl w:val="0"/>
        <w:rPr>
          <w:rFonts w:cs="Arial"/>
          <w:sz w:val="22"/>
          <w:szCs w:val="22"/>
          <w:lang w:val="en-US"/>
        </w:rPr>
      </w:pPr>
      <w:bookmarkStart w:id="0" w:name="_Toc70259396"/>
      <w:bookmarkStart w:id="1" w:name="_Toc70259992"/>
      <w:bookmarkStart w:id="2" w:name="_Toc70260388"/>
      <w:bookmarkStart w:id="3" w:name="_Toc70943212"/>
      <w:r w:rsidRPr="00B6509D">
        <w:rPr>
          <w:rFonts w:cs="Arial"/>
          <w:sz w:val="22"/>
          <w:szCs w:val="22"/>
          <w:lang w:val="en-US"/>
        </w:rPr>
        <w:t>MACROECONOMIC DEVELOPMENTS IN COMESA REGION</w:t>
      </w:r>
      <w:r w:rsidR="00B14CAE" w:rsidRPr="00B6509D">
        <w:rPr>
          <w:rFonts w:cs="Arial"/>
          <w:sz w:val="22"/>
          <w:szCs w:val="22"/>
          <w:lang w:val="en-US"/>
        </w:rPr>
        <w:t xml:space="preserve"> IN 20</w:t>
      </w:r>
      <w:r w:rsidR="00A44BBB">
        <w:rPr>
          <w:rFonts w:cs="Arial"/>
          <w:sz w:val="22"/>
          <w:szCs w:val="22"/>
          <w:lang w:val="en-US"/>
        </w:rPr>
        <w:t>2</w:t>
      </w:r>
      <w:bookmarkEnd w:id="0"/>
      <w:bookmarkEnd w:id="1"/>
      <w:bookmarkEnd w:id="2"/>
      <w:bookmarkEnd w:id="3"/>
      <w:r w:rsidR="00A1707D">
        <w:rPr>
          <w:rFonts w:cs="Arial"/>
          <w:sz w:val="22"/>
          <w:szCs w:val="22"/>
          <w:lang w:val="en-US"/>
        </w:rPr>
        <w:t>1</w:t>
      </w:r>
    </w:p>
    <w:p w14:paraId="1A2FA5A7" w14:textId="77777777" w:rsidR="00A44BBB" w:rsidRDefault="00A44BBB"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outlineLvl w:val="0"/>
        <w:rPr>
          <w:rFonts w:cs="Arial"/>
          <w:sz w:val="22"/>
          <w:szCs w:val="22"/>
          <w:lang w:val="en-US"/>
        </w:rPr>
      </w:pPr>
    </w:p>
    <w:p w14:paraId="6C932E75" w14:textId="77777777" w:rsidR="00A44BBB" w:rsidRDefault="00A44BBB"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outlineLvl w:val="0"/>
        <w:rPr>
          <w:rFonts w:cs="Arial"/>
          <w:sz w:val="22"/>
          <w:szCs w:val="22"/>
          <w:lang w:val="en-US"/>
        </w:rPr>
      </w:pPr>
    </w:p>
    <w:p w14:paraId="3859130D" w14:textId="77777777" w:rsidR="00A44BBB" w:rsidRDefault="00A44BBB"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outlineLvl w:val="0"/>
        <w:rPr>
          <w:rFonts w:cs="Arial"/>
          <w:sz w:val="22"/>
          <w:szCs w:val="22"/>
          <w:lang w:val="en-US"/>
        </w:rPr>
      </w:pPr>
    </w:p>
    <w:p w14:paraId="4D68A803" w14:textId="77777777" w:rsidR="00A44BBB" w:rsidRDefault="00A44BBB"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outlineLvl w:val="0"/>
        <w:rPr>
          <w:rFonts w:cs="Arial"/>
          <w:sz w:val="22"/>
          <w:szCs w:val="22"/>
          <w:lang w:val="en-US"/>
        </w:rPr>
      </w:pPr>
    </w:p>
    <w:p w14:paraId="7C7DA333" w14:textId="2589DAC9" w:rsidR="00754D3A" w:rsidRPr="00B6509D" w:rsidRDefault="00754D3A"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outlineLvl w:val="0"/>
        <w:rPr>
          <w:rFonts w:cs="Arial"/>
          <w:sz w:val="22"/>
          <w:szCs w:val="22"/>
          <w:lang w:val="en-US"/>
        </w:rPr>
      </w:pPr>
      <w:bookmarkStart w:id="4" w:name="_Toc70259397"/>
      <w:bookmarkStart w:id="5" w:name="_Toc70259993"/>
      <w:bookmarkStart w:id="6" w:name="_Toc70260389"/>
      <w:bookmarkStart w:id="7" w:name="_Toc70943213"/>
      <w:r>
        <w:rPr>
          <w:rFonts w:cs="Arial"/>
          <w:sz w:val="22"/>
          <w:szCs w:val="22"/>
          <w:lang w:val="en-US"/>
        </w:rPr>
        <w:t>PREPARED FOR COMESA 20</w:t>
      </w:r>
      <w:r w:rsidR="00A44BBB">
        <w:rPr>
          <w:rFonts w:cs="Arial"/>
          <w:sz w:val="22"/>
          <w:szCs w:val="22"/>
          <w:lang w:val="en-US"/>
        </w:rPr>
        <w:t>2</w:t>
      </w:r>
      <w:r w:rsidR="00A1707D">
        <w:rPr>
          <w:rFonts w:cs="Arial"/>
          <w:sz w:val="22"/>
          <w:szCs w:val="22"/>
          <w:lang w:val="en-US"/>
        </w:rPr>
        <w:t>1</w:t>
      </w:r>
      <w:r>
        <w:rPr>
          <w:rFonts w:cs="Arial"/>
          <w:sz w:val="22"/>
          <w:szCs w:val="22"/>
          <w:lang w:val="en-US"/>
        </w:rPr>
        <w:t xml:space="preserve"> ANNUAL REPORT</w:t>
      </w:r>
      <w:bookmarkEnd w:id="4"/>
      <w:bookmarkEnd w:id="5"/>
      <w:bookmarkEnd w:id="6"/>
      <w:bookmarkEnd w:id="7"/>
    </w:p>
    <w:p w14:paraId="7AEADA4E" w14:textId="77777777" w:rsidR="00991FFE" w:rsidRPr="00B6509D" w:rsidRDefault="00991FFE"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outlineLvl w:val="0"/>
        <w:rPr>
          <w:rFonts w:cs="Arial"/>
          <w:sz w:val="22"/>
          <w:szCs w:val="22"/>
          <w:lang w:val="en-US"/>
        </w:rPr>
      </w:pPr>
    </w:p>
    <w:p w14:paraId="1EC5C911" w14:textId="77777777" w:rsidR="00991FFE" w:rsidRPr="00B6509D" w:rsidRDefault="00991FFE"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outlineLvl w:val="0"/>
        <w:rPr>
          <w:rFonts w:cs="Arial"/>
          <w:sz w:val="22"/>
          <w:szCs w:val="22"/>
          <w:lang w:val="en-US"/>
        </w:rPr>
      </w:pPr>
    </w:p>
    <w:p w14:paraId="24BF45DA" w14:textId="77777777" w:rsidR="00991FFE" w:rsidRDefault="00991FFE"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outlineLvl w:val="0"/>
        <w:rPr>
          <w:rFonts w:cs="Arial"/>
          <w:sz w:val="22"/>
          <w:szCs w:val="22"/>
          <w:lang w:val="en-US"/>
        </w:rPr>
      </w:pPr>
    </w:p>
    <w:p w14:paraId="58E78A45" w14:textId="77777777" w:rsidR="00C550A1" w:rsidRDefault="00C550A1"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outlineLvl w:val="0"/>
        <w:rPr>
          <w:rFonts w:cs="Arial"/>
          <w:sz w:val="22"/>
          <w:szCs w:val="22"/>
          <w:lang w:val="en-US"/>
        </w:rPr>
      </w:pPr>
    </w:p>
    <w:p w14:paraId="45B05D3F" w14:textId="77777777" w:rsidR="00C550A1" w:rsidRPr="00B6509D" w:rsidRDefault="00C550A1"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outlineLvl w:val="0"/>
        <w:rPr>
          <w:rFonts w:cs="Arial"/>
          <w:sz w:val="22"/>
          <w:szCs w:val="22"/>
          <w:lang w:val="en-US"/>
        </w:rPr>
      </w:pPr>
    </w:p>
    <w:p w14:paraId="19F60E1C" w14:textId="77777777" w:rsidR="00991FFE" w:rsidRPr="00B6509D" w:rsidRDefault="00991FFE"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outlineLvl w:val="0"/>
        <w:rPr>
          <w:rFonts w:cs="Arial"/>
          <w:sz w:val="22"/>
          <w:szCs w:val="22"/>
          <w:lang w:val="en-US"/>
        </w:rPr>
      </w:pPr>
    </w:p>
    <w:p w14:paraId="0F8801F2" w14:textId="77777777" w:rsidR="00991FFE" w:rsidRPr="00B6509D" w:rsidRDefault="00991FFE"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outlineLvl w:val="0"/>
        <w:rPr>
          <w:rFonts w:cs="Arial"/>
          <w:sz w:val="22"/>
          <w:szCs w:val="22"/>
          <w:lang w:val="en-US"/>
        </w:rPr>
      </w:pPr>
    </w:p>
    <w:p w14:paraId="6FBF561C" w14:textId="77777777" w:rsidR="00991FFE" w:rsidRPr="00B6509D" w:rsidRDefault="00991FFE"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outlineLvl w:val="0"/>
        <w:rPr>
          <w:rFonts w:cs="Arial"/>
          <w:sz w:val="22"/>
          <w:szCs w:val="22"/>
          <w:lang w:val="en-US"/>
        </w:rPr>
      </w:pPr>
    </w:p>
    <w:p w14:paraId="1A576F07" w14:textId="77777777" w:rsidR="00991FFE" w:rsidRPr="00B6509D" w:rsidRDefault="00991FFE"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jc w:val="left"/>
        <w:outlineLvl w:val="0"/>
        <w:rPr>
          <w:rFonts w:cs="Arial"/>
          <w:sz w:val="22"/>
          <w:szCs w:val="22"/>
          <w:lang w:val="en-US"/>
        </w:rPr>
      </w:pPr>
    </w:p>
    <w:p w14:paraId="274B26F4" w14:textId="77777777" w:rsidR="00380C2F" w:rsidRDefault="00380C2F"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jc w:val="left"/>
        <w:outlineLvl w:val="0"/>
        <w:rPr>
          <w:rFonts w:cs="Arial"/>
          <w:sz w:val="22"/>
          <w:szCs w:val="22"/>
          <w:lang w:val="en-US"/>
        </w:rPr>
      </w:pPr>
    </w:p>
    <w:p w14:paraId="09221617" w14:textId="77777777" w:rsidR="00A37D3B" w:rsidRDefault="00A37D3B"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jc w:val="left"/>
        <w:outlineLvl w:val="0"/>
        <w:rPr>
          <w:rFonts w:cs="Arial"/>
          <w:sz w:val="22"/>
          <w:szCs w:val="22"/>
          <w:lang w:val="en-US"/>
        </w:rPr>
      </w:pPr>
    </w:p>
    <w:p w14:paraId="7BB633B6" w14:textId="77777777" w:rsidR="00A37D3B" w:rsidRDefault="00A37D3B"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jc w:val="left"/>
        <w:outlineLvl w:val="0"/>
        <w:rPr>
          <w:rFonts w:cs="Arial"/>
          <w:sz w:val="22"/>
          <w:szCs w:val="22"/>
          <w:lang w:val="en-US"/>
        </w:rPr>
      </w:pPr>
    </w:p>
    <w:p w14:paraId="17EAD8A3" w14:textId="77777777" w:rsidR="00A37D3B" w:rsidRDefault="00A37D3B"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jc w:val="left"/>
        <w:outlineLvl w:val="0"/>
        <w:rPr>
          <w:rFonts w:cs="Arial"/>
          <w:sz w:val="22"/>
          <w:szCs w:val="22"/>
          <w:lang w:val="en-US"/>
        </w:rPr>
      </w:pPr>
    </w:p>
    <w:p w14:paraId="2785A116" w14:textId="77777777" w:rsidR="00A37D3B" w:rsidRDefault="00A37D3B"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jc w:val="left"/>
        <w:outlineLvl w:val="0"/>
        <w:rPr>
          <w:rFonts w:cs="Arial"/>
          <w:sz w:val="22"/>
          <w:szCs w:val="22"/>
          <w:lang w:val="en-US"/>
        </w:rPr>
      </w:pPr>
    </w:p>
    <w:p w14:paraId="4C81817D" w14:textId="77777777" w:rsidR="00A37D3B" w:rsidRDefault="00A37D3B"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jc w:val="left"/>
        <w:outlineLvl w:val="0"/>
        <w:rPr>
          <w:rFonts w:cs="Arial"/>
          <w:sz w:val="22"/>
          <w:szCs w:val="22"/>
          <w:lang w:val="en-US"/>
        </w:rPr>
      </w:pPr>
    </w:p>
    <w:p w14:paraId="1F51709A" w14:textId="77777777" w:rsidR="00A37D3B" w:rsidRDefault="00A37D3B"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jc w:val="left"/>
        <w:outlineLvl w:val="0"/>
        <w:rPr>
          <w:rFonts w:cs="Arial"/>
          <w:sz w:val="22"/>
          <w:szCs w:val="22"/>
          <w:lang w:val="en-US"/>
        </w:rPr>
      </w:pPr>
    </w:p>
    <w:p w14:paraId="125995C5" w14:textId="77777777" w:rsidR="00A37D3B" w:rsidRDefault="00A37D3B"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jc w:val="left"/>
        <w:outlineLvl w:val="0"/>
        <w:rPr>
          <w:rFonts w:cs="Arial"/>
          <w:sz w:val="22"/>
          <w:szCs w:val="22"/>
          <w:lang w:val="en-US"/>
        </w:rPr>
      </w:pPr>
    </w:p>
    <w:p w14:paraId="11D36788" w14:textId="77777777" w:rsidR="00A37D3B" w:rsidRDefault="00A37D3B"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jc w:val="left"/>
        <w:outlineLvl w:val="0"/>
        <w:rPr>
          <w:rFonts w:cs="Arial"/>
          <w:sz w:val="22"/>
          <w:szCs w:val="22"/>
          <w:lang w:val="en-US"/>
        </w:rPr>
      </w:pPr>
    </w:p>
    <w:p w14:paraId="76379263" w14:textId="77777777" w:rsidR="00A37D3B" w:rsidRDefault="00A37D3B"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jc w:val="left"/>
        <w:outlineLvl w:val="0"/>
        <w:rPr>
          <w:rFonts w:cs="Arial"/>
          <w:sz w:val="22"/>
          <w:szCs w:val="22"/>
          <w:lang w:val="en-US"/>
        </w:rPr>
      </w:pPr>
    </w:p>
    <w:p w14:paraId="4CF7D2D4" w14:textId="77777777" w:rsidR="00A37D3B" w:rsidRDefault="00A37D3B"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jc w:val="left"/>
        <w:outlineLvl w:val="0"/>
        <w:rPr>
          <w:rFonts w:cs="Arial"/>
          <w:sz w:val="22"/>
          <w:szCs w:val="22"/>
          <w:lang w:val="en-US"/>
        </w:rPr>
      </w:pPr>
    </w:p>
    <w:p w14:paraId="5A5FFA63" w14:textId="77777777" w:rsidR="00A37D3B" w:rsidRDefault="00A37D3B"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jc w:val="left"/>
        <w:outlineLvl w:val="0"/>
        <w:rPr>
          <w:rFonts w:cs="Arial"/>
          <w:sz w:val="22"/>
          <w:szCs w:val="22"/>
          <w:lang w:val="en-US"/>
        </w:rPr>
      </w:pPr>
    </w:p>
    <w:p w14:paraId="2F158CF8" w14:textId="77777777" w:rsidR="00A37D3B" w:rsidRDefault="00A37D3B"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jc w:val="left"/>
        <w:outlineLvl w:val="0"/>
        <w:rPr>
          <w:rFonts w:cs="Arial"/>
          <w:sz w:val="22"/>
          <w:szCs w:val="22"/>
          <w:lang w:val="en-US"/>
        </w:rPr>
      </w:pPr>
    </w:p>
    <w:p w14:paraId="1F3662D7" w14:textId="46C1661B" w:rsidR="00A37D3B" w:rsidRPr="00B6509D" w:rsidRDefault="00A37D3B"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jc w:val="left"/>
        <w:outlineLvl w:val="0"/>
        <w:rPr>
          <w:rFonts w:cs="Arial"/>
          <w:sz w:val="22"/>
          <w:szCs w:val="22"/>
          <w:lang w:val="en-US"/>
        </w:rPr>
      </w:pPr>
    </w:p>
    <w:p w14:paraId="520EE500" w14:textId="77777777" w:rsidR="00572F4C" w:rsidRDefault="00572F4C">
      <w:pPr>
        <w:spacing w:after="0" w:line="240" w:lineRule="auto"/>
        <w:rPr>
          <w:rFonts w:ascii="Arial" w:hAnsi="Arial" w:cs="Arial"/>
          <w:lang w:val="en-US"/>
        </w:rPr>
      </w:pPr>
      <w:r>
        <w:rPr>
          <w:rFonts w:ascii="Arial" w:hAnsi="Arial" w:cs="Arial"/>
          <w:lang w:val="en-US"/>
        </w:rPr>
        <w:br w:type="page"/>
      </w:r>
    </w:p>
    <w:p w14:paraId="3F11C920" w14:textId="77777777" w:rsidR="00572F4C" w:rsidRDefault="00572F4C" w:rsidP="008C697D">
      <w:pPr>
        <w:jc w:val="center"/>
        <w:rPr>
          <w:rFonts w:ascii="Arial" w:hAnsi="Arial" w:cs="Arial"/>
          <w:lang w:val="en-US"/>
        </w:rPr>
        <w:sectPr w:rsidR="00572F4C" w:rsidSect="007554D3">
          <w:footerReference w:type="even" r:id="rId9"/>
          <w:footerReference w:type="default" r:id="rId10"/>
          <w:footerReference w:type="first" r:id="rId11"/>
          <w:pgSz w:w="11906" w:h="16838"/>
          <w:pgMar w:top="1260" w:right="1440" w:bottom="1440" w:left="1440" w:header="720" w:footer="720" w:gutter="0"/>
          <w:pgNumType w:start="0"/>
          <w:cols w:space="720"/>
          <w:titlePg/>
          <w:docGrid w:linePitch="360"/>
        </w:sectPr>
      </w:pPr>
    </w:p>
    <w:p w14:paraId="797DEC60" w14:textId="66743BF4" w:rsidR="0076250B" w:rsidRDefault="0076250B" w:rsidP="008C697D">
      <w:pPr>
        <w:pStyle w:val="ListParagraph"/>
        <w:ind w:left="360"/>
        <w:jc w:val="both"/>
        <w:rPr>
          <w:rFonts w:ascii="Garamond" w:hAnsi="Garamond" w:cs="Arial"/>
          <w:lang w:val="en-US"/>
        </w:rPr>
      </w:pPr>
    </w:p>
    <w:sdt>
      <w:sdtPr>
        <w:rPr>
          <w:rFonts w:ascii="Calibri" w:eastAsia="Calibri" w:hAnsi="Calibri" w:cs="Times New Roman"/>
          <w:color w:val="auto"/>
          <w:sz w:val="22"/>
          <w:szCs w:val="22"/>
          <w:lang w:val="fr-FR" w:eastAsia="fr-FR" w:bidi="fr-FR"/>
        </w:rPr>
        <w:id w:val="352622313"/>
        <w:docPartObj>
          <w:docPartGallery w:val="Table of Contents"/>
          <w:docPartUnique/>
        </w:docPartObj>
      </w:sdtPr>
      <w:sdtEndPr>
        <w:rPr>
          <w:b/>
          <w:bCs/>
          <w:noProof/>
        </w:rPr>
      </w:sdtEndPr>
      <w:sdtContent>
        <w:p w14:paraId="5C11D808" w14:textId="302B5C59" w:rsidR="00A705E7" w:rsidRDefault="00A705E7">
          <w:pPr>
            <w:pStyle w:val="TOCHeading"/>
          </w:pPr>
          <w:r>
            <w:t>Table of Contents</w:t>
          </w:r>
        </w:p>
        <w:p w14:paraId="3713C0DB" w14:textId="5932BD39" w:rsidR="00756A55" w:rsidRDefault="00A705E7">
          <w:pPr>
            <w:pStyle w:val="TOC1"/>
            <w:tabs>
              <w:tab w:val="right" w:leader="dot" w:pos="9016"/>
            </w:tabs>
            <w:rPr>
              <w:rFonts w:asciiTheme="minorHAnsi" w:eastAsiaTheme="minorEastAsia" w:hAnsiTheme="minorHAnsi" w:cstheme="minorBidi"/>
              <w:noProof/>
              <w:lang w:val="en-US" w:eastAsia="en-US" w:bidi="ar-SA"/>
            </w:rPr>
          </w:pPr>
          <w:r>
            <w:fldChar w:fldCharType="begin"/>
          </w:r>
          <w:r>
            <w:instrText xml:space="preserve"> TOC \o "1-3" \h \z \u </w:instrText>
          </w:r>
          <w:r>
            <w:fldChar w:fldCharType="separate"/>
          </w:r>
        </w:p>
        <w:p w14:paraId="0BDA6615" w14:textId="1D65168F" w:rsidR="00756A55" w:rsidRDefault="00000000">
          <w:pPr>
            <w:pStyle w:val="TOC1"/>
            <w:tabs>
              <w:tab w:val="left" w:pos="440"/>
              <w:tab w:val="right" w:leader="dot" w:pos="9016"/>
            </w:tabs>
            <w:rPr>
              <w:rFonts w:asciiTheme="minorHAnsi" w:eastAsiaTheme="minorEastAsia" w:hAnsiTheme="minorHAnsi" w:cstheme="minorBidi"/>
              <w:noProof/>
              <w:lang w:val="en-US" w:eastAsia="en-US" w:bidi="ar-SA"/>
            </w:rPr>
          </w:pPr>
          <w:hyperlink w:anchor="_Toc70943214" w:history="1">
            <w:r w:rsidR="00756A55" w:rsidRPr="009152C0">
              <w:rPr>
                <w:rStyle w:val="Hyperlink"/>
                <w:rFonts w:ascii="Arial" w:hAnsi="Arial" w:cs="Arial"/>
                <w:noProof/>
              </w:rPr>
              <w:t>1.</w:t>
            </w:r>
            <w:r w:rsidR="00756A55">
              <w:rPr>
                <w:rFonts w:asciiTheme="minorHAnsi" w:eastAsiaTheme="minorEastAsia" w:hAnsiTheme="minorHAnsi" w:cstheme="minorBidi"/>
                <w:noProof/>
                <w:lang w:val="en-US" w:eastAsia="en-US" w:bidi="ar-SA"/>
              </w:rPr>
              <w:tab/>
            </w:r>
            <w:r w:rsidR="00756A55" w:rsidRPr="009152C0">
              <w:rPr>
                <w:rStyle w:val="Hyperlink"/>
                <w:rFonts w:ascii="Arial" w:hAnsi="Arial" w:cs="Arial"/>
                <w:noProof/>
              </w:rPr>
              <w:t>Background</w:t>
            </w:r>
            <w:r w:rsidR="00756A55">
              <w:rPr>
                <w:noProof/>
                <w:webHidden/>
              </w:rPr>
              <w:tab/>
            </w:r>
            <w:r w:rsidR="00756A55">
              <w:rPr>
                <w:noProof/>
                <w:webHidden/>
              </w:rPr>
              <w:fldChar w:fldCharType="begin"/>
            </w:r>
            <w:r w:rsidR="00756A55">
              <w:rPr>
                <w:noProof/>
                <w:webHidden/>
              </w:rPr>
              <w:instrText xml:space="preserve"> PAGEREF _Toc70943214 \h </w:instrText>
            </w:r>
            <w:r w:rsidR="00756A55">
              <w:rPr>
                <w:noProof/>
                <w:webHidden/>
              </w:rPr>
            </w:r>
            <w:r w:rsidR="00756A55">
              <w:rPr>
                <w:noProof/>
                <w:webHidden/>
              </w:rPr>
              <w:fldChar w:fldCharType="separate"/>
            </w:r>
            <w:r w:rsidR="00D32533">
              <w:rPr>
                <w:noProof/>
                <w:webHidden/>
              </w:rPr>
              <w:t>1</w:t>
            </w:r>
            <w:r w:rsidR="00756A55">
              <w:rPr>
                <w:noProof/>
                <w:webHidden/>
              </w:rPr>
              <w:fldChar w:fldCharType="end"/>
            </w:r>
          </w:hyperlink>
        </w:p>
        <w:p w14:paraId="548AE2E8" w14:textId="77158CD6" w:rsidR="00756A55" w:rsidRDefault="00000000">
          <w:pPr>
            <w:pStyle w:val="TOC1"/>
            <w:tabs>
              <w:tab w:val="left" w:pos="440"/>
              <w:tab w:val="right" w:leader="dot" w:pos="9016"/>
            </w:tabs>
            <w:rPr>
              <w:rFonts w:asciiTheme="minorHAnsi" w:eastAsiaTheme="minorEastAsia" w:hAnsiTheme="minorHAnsi" w:cstheme="minorBidi"/>
              <w:noProof/>
              <w:lang w:val="en-US" w:eastAsia="en-US" w:bidi="ar-SA"/>
            </w:rPr>
          </w:pPr>
          <w:hyperlink w:anchor="_Toc70943215" w:history="1">
            <w:r w:rsidR="00756A55" w:rsidRPr="009152C0">
              <w:rPr>
                <w:rStyle w:val="Hyperlink"/>
                <w:rFonts w:ascii="Arial" w:hAnsi="Arial" w:cs="Arial"/>
                <w:noProof/>
              </w:rPr>
              <w:t>2</w:t>
            </w:r>
            <w:r w:rsidR="00756A55">
              <w:rPr>
                <w:rFonts w:asciiTheme="minorHAnsi" w:eastAsiaTheme="minorEastAsia" w:hAnsiTheme="minorHAnsi" w:cstheme="minorBidi"/>
                <w:noProof/>
                <w:lang w:val="en-US" w:eastAsia="en-US" w:bidi="ar-SA"/>
              </w:rPr>
              <w:tab/>
            </w:r>
            <w:r w:rsidR="00756A55" w:rsidRPr="009152C0">
              <w:rPr>
                <w:rStyle w:val="Hyperlink"/>
                <w:rFonts w:ascii="Arial" w:hAnsi="Arial" w:cs="Arial"/>
                <w:noProof/>
              </w:rPr>
              <w:t>Growth</w:t>
            </w:r>
            <w:r w:rsidR="00756A55">
              <w:rPr>
                <w:noProof/>
                <w:webHidden/>
              </w:rPr>
              <w:tab/>
            </w:r>
            <w:r w:rsidR="00756A55">
              <w:rPr>
                <w:noProof/>
                <w:webHidden/>
              </w:rPr>
              <w:fldChar w:fldCharType="begin"/>
            </w:r>
            <w:r w:rsidR="00756A55">
              <w:rPr>
                <w:noProof/>
                <w:webHidden/>
              </w:rPr>
              <w:instrText xml:space="preserve"> PAGEREF _Toc70943215 \h </w:instrText>
            </w:r>
            <w:r w:rsidR="00756A55">
              <w:rPr>
                <w:noProof/>
                <w:webHidden/>
              </w:rPr>
            </w:r>
            <w:r w:rsidR="00756A55">
              <w:rPr>
                <w:noProof/>
                <w:webHidden/>
              </w:rPr>
              <w:fldChar w:fldCharType="separate"/>
            </w:r>
            <w:r w:rsidR="00D32533">
              <w:rPr>
                <w:noProof/>
                <w:webHidden/>
              </w:rPr>
              <w:t>1</w:t>
            </w:r>
            <w:r w:rsidR="00756A55">
              <w:rPr>
                <w:noProof/>
                <w:webHidden/>
              </w:rPr>
              <w:fldChar w:fldCharType="end"/>
            </w:r>
          </w:hyperlink>
        </w:p>
        <w:p w14:paraId="6F2FCFB8" w14:textId="0626BCA2" w:rsidR="00756A55" w:rsidRDefault="00000000">
          <w:pPr>
            <w:pStyle w:val="TOC1"/>
            <w:tabs>
              <w:tab w:val="left" w:pos="440"/>
              <w:tab w:val="right" w:leader="dot" w:pos="9016"/>
            </w:tabs>
            <w:rPr>
              <w:rFonts w:asciiTheme="minorHAnsi" w:eastAsiaTheme="minorEastAsia" w:hAnsiTheme="minorHAnsi" w:cstheme="minorBidi"/>
              <w:noProof/>
              <w:lang w:val="en-US" w:eastAsia="en-US" w:bidi="ar-SA"/>
            </w:rPr>
          </w:pPr>
          <w:hyperlink w:anchor="_Toc70943216" w:history="1">
            <w:r w:rsidR="00756A55" w:rsidRPr="009152C0">
              <w:rPr>
                <w:rStyle w:val="Hyperlink"/>
                <w:rFonts w:ascii="Arial" w:hAnsi="Arial" w:cs="Arial"/>
                <w:noProof/>
              </w:rPr>
              <w:t>3</w:t>
            </w:r>
            <w:r w:rsidR="00756A55">
              <w:rPr>
                <w:rFonts w:asciiTheme="minorHAnsi" w:eastAsiaTheme="minorEastAsia" w:hAnsiTheme="minorHAnsi" w:cstheme="minorBidi"/>
                <w:noProof/>
                <w:lang w:val="en-US" w:eastAsia="en-US" w:bidi="ar-SA"/>
              </w:rPr>
              <w:tab/>
            </w:r>
            <w:r w:rsidR="00756A55" w:rsidRPr="009152C0">
              <w:rPr>
                <w:rStyle w:val="Hyperlink"/>
                <w:rFonts w:ascii="Arial" w:hAnsi="Arial" w:cs="Arial"/>
                <w:noProof/>
              </w:rPr>
              <w:t>Inflation Rate</w:t>
            </w:r>
            <w:r w:rsidR="00756A55">
              <w:rPr>
                <w:noProof/>
                <w:webHidden/>
              </w:rPr>
              <w:tab/>
            </w:r>
            <w:r w:rsidR="00756A55">
              <w:rPr>
                <w:noProof/>
                <w:webHidden/>
              </w:rPr>
              <w:fldChar w:fldCharType="begin"/>
            </w:r>
            <w:r w:rsidR="00756A55">
              <w:rPr>
                <w:noProof/>
                <w:webHidden/>
              </w:rPr>
              <w:instrText xml:space="preserve"> PAGEREF _Toc70943216 \h </w:instrText>
            </w:r>
            <w:r w:rsidR="00756A55">
              <w:rPr>
                <w:noProof/>
                <w:webHidden/>
              </w:rPr>
            </w:r>
            <w:r w:rsidR="00756A55">
              <w:rPr>
                <w:noProof/>
                <w:webHidden/>
              </w:rPr>
              <w:fldChar w:fldCharType="separate"/>
            </w:r>
            <w:r w:rsidR="00D32533">
              <w:rPr>
                <w:noProof/>
                <w:webHidden/>
              </w:rPr>
              <w:t>2</w:t>
            </w:r>
            <w:r w:rsidR="00756A55">
              <w:rPr>
                <w:noProof/>
                <w:webHidden/>
              </w:rPr>
              <w:fldChar w:fldCharType="end"/>
            </w:r>
          </w:hyperlink>
        </w:p>
        <w:p w14:paraId="1840C633" w14:textId="24898552" w:rsidR="00756A55" w:rsidRDefault="00000000">
          <w:pPr>
            <w:pStyle w:val="TOC1"/>
            <w:tabs>
              <w:tab w:val="left" w:pos="440"/>
              <w:tab w:val="right" w:leader="dot" w:pos="9016"/>
            </w:tabs>
            <w:rPr>
              <w:rFonts w:asciiTheme="minorHAnsi" w:eastAsiaTheme="minorEastAsia" w:hAnsiTheme="minorHAnsi" w:cstheme="minorBidi"/>
              <w:noProof/>
              <w:lang w:val="en-US" w:eastAsia="en-US" w:bidi="ar-SA"/>
            </w:rPr>
          </w:pPr>
          <w:hyperlink w:anchor="_Toc70943217" w:history="1">
            <w:r w:rsidR="00756A55" w:rsidRPr="009152C0">
              <w:rPr>
                <w:rStyle w:val="Hyperlink"/>
                <w:rFonts w:ascii="Arial" w:hAnsi="Arial" w:cs="Arial"/>
                <w:noProof/>
              </w:rPr>
              <w:t>4</w:t>
            </w:r>
            <w:r w:rsidR="00756A55">
              <w:rPr>
                <w:rFonts w:asciiTheme="minorHAnsi" w:eastAsiaTheme="minorEastAsia" w:hAnsiTheme="minorHAnsi" w:cstheme="minorBidi"/>
                <w:noProof/>
                <w:lang w:val="en-US" w:eastAsia="en-US" w:bidi="ar-SA"/>
              </w:rPr>
              <w:tab/>
            </w:r>
            <w:r w:rsidR="00756A55" w:rsidRPr="009152C0">
              <w:rPr>
                <w:rStyle w:val="Hyperlink"/>
                <w:rFonts w:ascii="Arial" w:hAnsi="Arial" w:cs="Arial"/>
                <w:noProof/>
              </w:rPr>
              <w:t>Monetary Policy and Exchange Rate developments</w:t>
            </w:r>
            <w:r w:rsidR="00756A55">
              <w:rPr>
                <w:noProof/>
                <w:webHidden/>
              </w:rPr>
              <w:tab/>
            </w:r>
            <w:r w:rsidR="00756A55">
              <w:rPr>
                <w:noProof/>
                <w:webHidden/>
              </w:rPr>
              <w:fldChar w:fldCharType="begin"/>
            </w:r>
            <w:r w:rsidR="00756A55">
              <w:rPr>
                <w:noProof/>
                <w:webHidden/>
              </w:rPr>
              <w:instrText xml:space="preserve"> PAGEREF _Toc70943217 \h </w:instrText>
            </w:r>
            <w:r w:rsidR="00756A55">
              <w:rPr>
                <w:noProof/>
                <w:webHidden/>
              </w:rPr>
            </w:r>
            <w:r w:rsidR="00756A55">
              <w:rPr>
                <w:noProof/>
                <w:webHidden/>
              </w:rPr>
              <w:fldChar w:fldCharType="separate"/>
            </w:r>
            <w:r w:rsidR="00D32533">
              <w:rPr>
                <w:noProof/>
                <w:webHidden/>
              </w:rPr>
              <w:t>4</w:t>
            </w:r>
            <w:r w:rsidR="00756A55">
              <w:rPr>
                <w:noProof/>
                <w:webHidden/>
              </w:rPr>
              <w:fldChar w:fldCharType="end"/>
            </w:r>
          </w:hyperlink>
        </w:p>
        <w:p w14:paraId="08004BDA" w14:textId="1E169385" w:rsidR="00756A55" w:rsidRDefault="00000000">
          <w:pPr>
            <w:pStyle w:val="TOC1"/>
            <w:tabs>
              <w:tab w:val="left" w:pos="440"/>
              <w:tab w:val="right" w:leader="dot" w:pos="9016"/>
            </w:tabs>
            <w:rPr>
              <w:rFonts w:asciiTheme="minorHAnsi" w:eastAsiaTheme="minorEastAsia" w:hAnsiTheme="minorHAnsi" w:cstheme="minorBidi"/>
              <w:noProof/>
              <w:lang w:val="en-US" w:eastAsia="en-US" w:bidi="ar-SA"/>
            </w:rPr>
          </w:pPr>
          <w:hyperlink w:anchor="_Toc70943218" w:history="1">
            <w:r w:rsidR="00756A55" w:rsidRPr="009152C0">
              <w:rPr>
                <w:rStyle w:val="Hyperlink"/>
                <w:rFonts w:ascii="Arial" w:hAnsi="Arial" w:cs="Arial"/>
                <w:noProof/>
              </w:rPr>
              <w:t>5</w:t>
            </w:r>
            <w:r w:rsidR="00756A55">
              <w:rPr>
                <w:rFonts w:asciiTheme="minorHAnsi" w:eastAsiaTheme="minorEastAsia" w:hAnsiTheme="minorHAnsi" w:cstheme="minorBidi"/>
                <w:noProof/>
                <w:lang w:val="en-US" w:eastAsia="en-US" w:bidi="ar-SA"/>
              </w:rPr>
              <w:tab/>
            </w:r>
            <w:r w:rsidR="00756A55" w:rsidRPr="009152C0">
              <w:rPr>
                <w:rStyle w:val="Hyperlink"/>
                <w:rFonts w:ascii="Arial" w:hAnsi="Arial" w:cs="Arial"/>
                <w:noProof/>
              </w:rPr>
              <w:t>Overall Fiscal Balance Including Grants</w:t>
            </w:r>
            <w:r w:rsidR="00756A55">
              <w:rPr>
                <w:noProof/>
                <w:webHidden/>
              </w:rPr>
              <w:tab/>
            </w:r>
            <w:r w:rsidR="00756A55">
              <w:rPr>
                <w:noProof/>
                <w:webHidden/>
              </w:rPr>
              <w:fldChar w:fldCharType="begin"/>
            </w:r>
            <w:r w:rsidR="00756A55">
              <w:rPr>
                <w:noProof/>
                <w:webHidden/>
              </w:rPr>
              <w:instrText xml:space="preserve"> PAGEREF _Toc70943218 \h </w:instrText>
            </w:r>
            <w:r w:rsidR="00756A55">
              <w:rPr>
                <w:noProof/>
                <w:webHidden/>
              </w:rPr>
            </w:r>
            <w:r w:rsidR="00756A55">
              <w:rPr>
                <w:noProof/>
                <w:webHidden/>
              </w:rPr>
              <w:fldChar w:fldCharType="separate"/>
            </w:r>
            <w:r w:rsidR="00D32533">
              <w:rPr>
                <w:noProof/>
                <w:webHidden/>
              </w:rPr>
              <w:t>5</w:t>
            </w:r>
            <w:r w:rsidR="00756A55">
              <w:rPr>
                <w:noProof/>
                <w:webHidden/>
              </w:rPr>
              <w:fldChar w:fldCharType="end"/>
            </w:r>
          </w:hyperlink>
        </w:p>
        <w:p w14:paraId="0E6A9BF3" w14:textId="47512CB7" w:rsidR="00756A55" w:rsidRDefault="00000000">
          <w:pPr>
            <w:pStyle w:val="TOC1"/>
            <w:tabs>
              <w:tab w:val="left" w:pos="440"/>
              <w:tab w:val="right" w:leader="dot" w:pos="9016"/>
            </w:tabs>
            <w:rPr>
              <w:rFonts w:asciiTheme="minorHAnsi" w:eastAsiaTheme="minorEastAsia" w:hAnsiTheme="minorHAnsi" w:cstheme="minorBidi"/>
              <w:noProof/>
              <w:lang w:val="en-US" w:eastAsia="en-US" w:bidi="ar-SA"/>
            </w:rPr>
          </w:pPr>
          <w:hyperlink w:anchor="_Toc70943219" w:history="1">
            <w:r w:rsidR="00756A55" w:rsidRPr="009152C0">
              <w:rPr>
                <w:rStyle w:val="Hyperlink"/>
                <w:rFonts w:ascii="Arial" w:hAnsi="Arial" w:cs="Arial"/>
                <w:noProof/>
              </w:rPr>
              <w:t>6</w:t>
            </w:r>
            <w:r w:rsidR="00756A55">
              <w:rPr>
                <w:rFonts w:asciiTheme="minorHAnsi" w:eastAsiaTheme="minorEastAsia" w:hAnsiTheme="minorHAnsi" w:cstheme="minorBidi"/>
                <w:noProof/>
                <w:lang w:val="en-US" w:eastAsia="en-US" w:bidi="ar-SA"/>
              </w:rPr>
              <w:tab/>
            </w:r>
            <w:r w:rsidR="00756A55" w:rsidRPr="009152C0">
              <w:rPr>
                <w:rStyle w:val="Hyperlink"/>
                <w:rFonts w:ascii="Arial" w:hAnsi="Arial" w:cs="Arial"/>
                <w:noProof/>
              </w:rPr>
              <w:t>Government Debt</w:t>
            </w:r>
            <w:r w:rsidR="00756A55">
              <w:rPr>
                <w:noProof/>
                <w:webHidden/>
              </w:rPr>
              <w:tab/>
            </w:r>
            <w:r w:rsidR="00756A55">
              <w:rPr>
                <w:noProof/>
                <w:webHidden/>
              </w:rPr>
              <w:fldChar w:fldCharType="begin"/>
            </w:r>
            <w:r w:rsidR="00756A55">
              <w:rPr>
                <w:noProof/>
                <w:webHidden/>
              </w:rPr>
              <w:instrText xml:space="preserve"> PAGEREF _Toc70943219 \h </w:instrText>
            </w:r>
            <w:r w:rsidR="00756A55">
              <w:rPr>
                <w:noProof/>
                <w:webHidden/>
              </w:rPr>
            </w:r>
            <w:r w:rsidR="00756A55">
              <w:rPr>
                <w:noProof/>
                <w:webHidden/>
              </w:rPr>
              <w:fldChar w:fldCharType="separate"/>
            </w:r>
            <w:r w:rsidR="00D32533">
              <w:rPr>
                <w:noProof/>
                <w:webHidden/>
              </w:rPr>
              <w:t>6</w:t>
            </w:r>
            <w:r w:rsidR="00756A55">
              <w:rPr>
                <w:noProof/>
                <w:webHidden/>
              </w:rPr>
              <w:fldChar w:fldCharType="end"/>
            </w:r>
          </w:hyperlink>
        </w:p>
        <w:p w14:paraId="2AED8422" w14:textId="360AD64B" w:rsidR="00756A55" w:rsidRDefault="00000000">
          <w:pPr>
            <w:pStyle w:val="TOC1"/>
            <w:tabs>
              <w:tab w:val="left" w:pos="440"/>
              <w:tab w:val="right" w:leader="dot" w:pos="9016"/>
            </w:tabs>
            <w:rPr>
              <w:rFonts w:asciiTheme="minorHAnsi" w:eastAsiaTheme="minorEastAsia" w:hAnsiTheme="minorHAnsi" w:cstheme="minorBidi"/>
              <w:noProof/>
              <w:lang w:val="en-US" w:eastAsia="en-US" w:bidi="ar-SA"/>
            </w:rPr>
          </w:pPr>
          <w:hyperlink w:anchor="_Toc70943220" w:history="1">
            <w:r w:rsidR="00756A55" w:rsidRPr="009152C0">
              <w:rPr>
                <w:rStyle w:val="Hyperlink"/>
                <w:rFonts w:ascii="Arial" w:hAnsi="Arial" w:cs="Arial"/>
                <w:noProof/>
              </w:rPr>
              <w:t>7</w:t>
            </w:r>
            <w:r w:rsidR="00756A55">
              <w:rPr>
                <w:rFonts w:asciiTheme="minorHAnsi" w:eastAsiaTheme="minorEastAsia" w:hAnsiTheme="minorHAnsi" w:cstheme="minorBidi"/>
                <w:noProof/>
                <w:lang w:val="en-US" w:eastAsia="en-US" w:bidi="ar-SA"/>
              </w:rPr>
              <w:tab/>
            </w:r>
            <w:r w:rsidR="00756A55" w:rsidRPr="009152C0">
              <w:rPr>
                <w:rStyle w:val="Hyperlink"/>
                <w:rFonts w:ascii="Arial" w:hAnsi="Arial" w:cs="Arial"/>
                <w:noProof/>
              </w:rPr>
              <w:t>External Current Account Including Grant</w:t>
            </w:r>
            <w:r w:rsidR="00756A55">
              <w:rPr>
                <w:noProof/>
                <w:webHidden/>
              </w:rPr>
              <w:tab/>
            </w:r>
            <w:r w:rsidR="00756A55">
              <w:rPr>
                <w:noProof/>
                <w:webHidden/>
              </w:rPr>
              <w:fldChar w:fldCharType="begin"/>
            </w:r>
            <w:r w:rsidR="00756A55">
              <w:rPr>
                <w:noProof/>
                <w:webHidden/>
              </w:rPr>
              <w:instrText xml:space="preserve"> PAGEREF _Toc70943220 \h </w:instrText>
            </w:r>
            <w:r w:rsidR="00756A55">
              <w:rPr>
                <w:noProof/>
                <w:webHidden/>
              </w:rPr>
            </w:r>
            <w:r w:rsidR="00756A55">
              <w:rPr>
                <w:noProof/>
                <w:webHidden/>
              </w:rPr>
              <w:fldChar w:fldCharType="separate"/>
            </w:r>
            <w:r w:rsidR="00D32533">
              <w:rPr>
                <w:noProof/>
                <w:webHidden/>
              </w:rPr>
              <w:t>8</w:t>
            </w:r>
            <w:r w:rsidR="00756A55">
              <w:rPr>
                <w:noProof/>
                <w:webHidden/>
              </w:rPr>
              <w:fldChar w:fldCharType="end"/>
            </w:r>
          </w:hyperlink>
        </w:p>
        <w:p w14:paraId="74F2D16F" w14:textId="1F4D1812" w:rsidR="00756A55" w:rsidRDefault="00000000">
          <w:pPr>
            <w:pStyle w:val="TOC1"/>
            <w:tabs>
              <w:tab w:val="left" w:pos="440"/>
              <w:tab w:val="right" w:leader="dot" w:pos="9016"/>
            </w:tabs>
            <w:rPr>
              <w:rFonts w:asciiTheme="minorHAnsi" w:eastAsiaTheme="minorEastAsia" w:hAnsiTheme="minorHAnsi" w:cstheme="minorBidi"/>
              <w:noProof/>
              <w:lang w:val="en-US" w:eastAsia="en-US" w:bidi="ar-SA"/>
            </w:rPr>
          </w:pPr>
          <w:hyperlink w:anchor="_Toc70943221" w:history="1">
            <w:r w:rsidR="00756A55" w:rsidRPr="009152C0">
              <w:rPr>
                <w:rStyle w:val="Hyperlink"/>
                <w:rFonts w:ascii="Arial" w:hAnsi="Arial" w:cs="Arial"/>
                <w:noProof/>
              </w:rPr>
              <w:t>8</w:t>
            </w:r>
            <w:r w:rsidR="00756A55">
              <w:rPr>
                <w:rFonts w:asciiTheme="minorHAnsi" w:eastAsiaTheme="minorEastAsia" w:hAnsiTheme="minorHAnsi" w:cstheme="minorBidi"/>
                <w:noProof/>
                <w:lang w:val="en-US" w:eastAsia="en-US" w:bidi="ar-SA"/>
              </w:rPr>
              <w:tab/>
            </w:r>
            <w:r w:rsidR="00756A55" w:rsidRPr="009152C0">
              <w:rPr>
                <w:rStyle w:val="Hyperlink"/>
                <w:rFonts w:ascii="Arial" w:hAnsi="Arial" w:cs="Arial"/>
                <w:noProof/>
              </w:rPr>
              <w:t>Reserve Accumulation</w:t>
            </w:r>
            <w:r w:rsidR="00756A55">
              <w:rPr>
                <w:noProof/>
                <w:webHidden/>
              </w:rPr>
              <w:tab/>
            </w:r>
            <w:r w:rsidR="00756A55">
              <w:rPr>
                <w:noProof/>
                <w:webHidden/>
              </w:rPr>
              <w:fldChar w:fldCharType="begin"/>
            </w:r>
            <w:r w:rsidR="00756A55">
              <w:rPr>
                <w:noProof/>
                <w:webHidden/>
              </w:rPr>
              <w:instrText xml:space="preserve"> PAGEREF _Toc70943221 \h </w:instrText>
            </w:r>
            <w:r w:rsidR="00756A55">
              <w:rPr>
                <w:noProof/>
                <w:webHidden/>
              </w:rPr>
            </w:r>
            <w:r w:rsidR="00756A55">
              <w:rPr>
                <w:noProof/>
                <w:webHidden/>
              </w:rPr>
              <w:fldChar w:fldCharType="separate"/>
            </w:r>
            <w:r w:rsidR="00D32533">
              <w:rPr>
                <w:noProof/>
                <w:webHidden/>
              </w:rPr>
              <w:t>9</w:t>
            </w:r>
            <w:r w:rsidR="00756A55">
              <w:rPr>
                <w:noProof/>
                <w:webHidden/>
              </w:rPr>
              <w:fldChar w:fldCharType="end"/>
            </w:r>
          </w:hyperlink>
        </w:p>
        <w:p w14:paraId="22597B4C" w14:textId="21F78F60" w:rsidR="00756A55" w:rsidRDefault="00000000">
          <w:pPr>
            <w:pStyle w:val="TOC1"/>
            <w:tabs>
              <w:tab w:val="left" w:pos="440"/>
              <w:tab w:val="right" w:leader="dot" w:pos="9016"/>
            </w:tabs>
            <w:rPr>
              <w:rFonts w:asciiTheme="minorHAnsi" w:eastAsiaTheme="minorEastAsia" w:hAnsiTheme="minorHAnsi" w:cstheme="minorBidi"/>
              <w:noProof/>
              <w:lang w:val="en-US" w:eastAsia="en-US" w:bidi="ar-SA"/>
            </w:rPr>
          </w:pPr>
          <w:hyperlink w:anchor="_Toc70943222" w:history="1">
            <w:r w:rsidR="00756A55" w:rsidRPr="009152C0">
              <w:rPr>
                <w:rStyle w:val="Hyperlink"/>
                <w:rFonts w:ascii="Arial" w:hAnsi="Arial" w:cs="Arial"/>
                <w:noProof/>
              </w:rPr>
              <w:t>9</w:t>
            </w:r>
            <w:r w:rsidR="00756A55">
              <w:rPr>
                <w:rFonts w:asciiTheme="minorHAnsi" w:eastAsiaTheme="minorEastAsia" w:hAnsiTheme="minorHAnsi" w:cstheme="minorBidi"/>
                <w:noProof/>
                <w:lang w:val="en-US" w:eastAsia="en-US" w:bidi="ar-SA"/>
              </w:rPr>
              <w:tab/>
            </w:r>
            <w:r w:rsidR="00756A55" w:rsidRPr="009152C0">
              <w:rPr>
                <w:rStyle w:val="Hyperlink"/>
                <w:rFonts w:ascii="Arial" w:hAnsi="Arial" w:cs="Arial"/>
                <w:noProof/>
              </w:rPr>
              <w:t>Medium Term Prospects and Recommendations for Chance to Change</w:t>
            </w:r>
            <w:r w:rsidR="00756A55">
              <w:rPr>
                <w:noProof/>
                <w:webHidden/>
              </w:rPr>
              <w:tab/>
            </w:r>
            <w:r w:rsidR="00756A55">
              <w:rPr>
                <w:noProof/>
                <w:webHidden/>
              </w:rPr>
              <w:fldChar w:fldCharType="begin"/>
            </w:r>
            <w:r w:rsidR="00756A55">
              <w:rPr>
                <w:noProof/>
                <w:webHidden/>
              </w:rPr>
              <w:instrText xml:space="preserve"> PAGEREF _Toc70943222 \h </w:instrText>
            </w:r>
            <w:r w:rsidR="00756A55">
              <w:rPr>
                <w:noProof/>
                <w:webHidden/>
              </w:rPr>
            </w:r>
            <w:r w:rsidR="00756A55">
              <w:rPr>
                <w:noProof/>
                <w:webHidden/>
              </w:rPr>
              <w:fldChar w:fldCharType="separate"/>
            </w:r>
            <w:r w:rsidR="00D32533">
              <w:rPr>
                <w:noProof/>
                <w:webHidden/>
              </w:rPr>
              <w:t>11</w:t>
            </w:r>
            <w:r w:rsidR="00756A55">
              <w:rPr>
                <w:noProof/>
                <w:webHidden/>
              </w:rPr>
              <w:fldChar w:fldCharType="end"/>
            </w:r>
          </w:hyperlink>
        </w:p>
        <w:p w14:paraId="5DDBE2B5" w14:textId="19E29679" w:rsidR="00756A55" w:rsidRDefault="00000000">
          <w:pPr>
            <w:pStyle w:val="TOC1"/>
            <w:tabs>
              <w:tab w:val="left" w:pos="660"/>
              <w:tab w:val="right" w:leader="dot" w:pos="9016"/>
            </w:tabs>
            <w:rPr>
              <w:rFonts w:asciiTheme="minorHAnsi" w:eastAsiaTheme="minorEastAsia" w:hAnsiTheme="minorHAnsi" w:cstheme="minorBidi"/>
              <w:noProof/>
              <w:lang w:val="en-US" w:eastAsia="en-US" w:bidi="ar-SA"/>
            </w:rPr>
          </w:pPr>
          <w:hyperlink w:anchor="_Toc70943223" w:history="1">
            <w:r w:rsidR="00756A55" w:rsidRPr="009152C0">
              <w:rPr>
                <w:rStyle w:val="Hyperlink"/>
                <w:rFonts w:ascii="Arial" w:hAnsi="Arial" w:cs="Arial"/>
                <w:noProof/>
              </w:rPr>
              <w:t>10</w:t>
            </w:r>
            <w:r w:rsidR="00756A55">
              <w:rPr>
                <w:rFonts w:asciiTheme="minorHAnsi" w:eastAsiaTheme="minorEastAsia" w:hAnsiTheme="minorHAnsi" w:cstheme="minorBidi"/>
                <w:noProof/>
                <w:lang w:val="en-US" w:eastAsia="en-US" w:bidi="ar-SA"/>
              </w:rPr>
              <w:tab/>
            </w:r>
            <w:r w:rsidR="00756A55" w:rsidRPr="009152C0">
              <w:rPr>
                <w:rStyle w:val="Hyperlink"/>
                <w:rFonts w:ascii="Arial" w:hAnsi="Arial" w:cs="Arial"/>
                <w:noProof/>
              </w:rPr>
              <w:t>Risks to Outlook</w:t>
            </w:r>
            <w:r w:rsidR="00756A55">
              <w:rPr>
                <w:noProof/>
                <w:webHidden/>
              </w:rPr>
              <w:tab/>
            </w:r>
            <w:r w:rsidR="00756A55">
              <w:rPr>
                <w:noProof/>
                <w:webHidden/>
              </w:rPr>
              <w:fldChar w:fldCharType="begin"/>
            </w:r>
            <w:r w:rsidR="00756A55">
              <w:rPr>
                <w:noProof/>
                <w:webHidden/>
              </w:rPr>
              <w:instrText xml:space="preserve"> PAGEREF _Toc70943223 \h </w:instrText>
            </w:r>
            <w:r w:rsidR="00756A55">
              <w:rPr>
                <w:noProof/>
                <w:webHidden/>
              </w:rPr>
            </w:r>
            <w:r w:rsidR="00756A55">
              <w:rPr>
                <w:noProof/>
                <w:webHidden/>
              </w:rPr>
              <w:fldChar w:fldCharType="separate"/>
            </w:r>
            <w:r w:rsidR="00D32533">
              <w:rPr>
                <w:noProof/>
                <w:webHidden/>
              </w:rPr>
              <w:t>11</w:t>
            </w:r>
            <w:r w:rsidR="00756A55">
              <w:rPr>
                <w:noProof/>
                <w:webHidden/>
              </w:rPr>
              <w:fldChar w:fldCharType="end"/>
            </w:r>
          </w:hyperlink>
        </w:p>
        <w:p w14:paraId="57951A43" w14:textId="11D6357F" w:rsidR="00756A55" w:rsidRDefault="00000000">
          <w:pPr>
            <w:pStyle w:val="TOC1"/>
            <w:tabs>
              <w:tab w:val="right" w:leader="dot" w:pos="9016"/>
            </w:tabs>
            <w:rPr>
              <w:rFonts w:asciiTheme="minorHAnsi" w:eastAsiaTheme="minorEastAsia" w:hAnsiTheme="minorHAnsi" w:cstheme="minorBidi"/>
              <w:noProof/>
              <w:lang w:val="en-US" w:eastAsia="en-US" w:bidi="ar-SA"/>
            </w:rPr>
          </w:pPr>
          <w:hyperlink w:anchor="_Toc70943224" w:history="1">
            <w:r w:rsidR="00756A55" w:rsidRPr="009152C0">
              <w:rPr>
                <w:rStyle w:val="Hyperlink"/>
                <w:rFonts w:ascii="Arial" w:hAnsi="Arial" w:cs="Arial"/>
                <w:noProof/>
              </w:rPr>
              <w:t>References</w:t>
            </w:r>
            <w:r w:rsidR="00756A55">
              <w:rPr>
                <w:noProof/>
                <w:webHidden/>
              </w:rPr>
              <w:tab/>
            </w:r>
            <w:r w:rsidR="00756A55">
              <w:rPr>
                <w:noProof/>
                <w:webHidden/>
              </w:rPr>
              <w:fldChar w:fldCharType="begin"/>
            </w:r>
            <w:r w:rsidR="00756A55">
              <w:rPr>
                <w:noProof/>
                <w:webHidden/>
              </w:rPr>
              <w:instrText xml:space="preserve"> PAGEREF _Toc70943224 \h </w:instrText>
            </w:r>
            <w:r w:rsidR="00756A55">
              <w:rPr>
                <w:noProof/>
                <w:webHidden/>
              </w:rPr>
            </w:r>
            <w:r w:rsidR="00756A55">
              <w:rPr>
                <w:noProof/>
                <w:webHidden/>
              </w:rPr>
              <w:fldChar w:fldCharType="separate"/>
            </w:r>
            <w:r w:rsidR="00D32533">
              <w:rPr>
                <w:noProof/>
                <w:webHidden/>
              </w:rPr>
              <w:t>12</w:t>
            </w:r>
            <w:r w:rsidR="00756A55">
              <w:rPr>
                <w:noProof/>
                <w:webHidden/>
              </w:rPr>
              <w:fldChar w:fldCharType="end"/>
            </w:r>
          </w:hyperlink>
        </w:p>
        <w:p w14:paraId="33999FCC" w14:textId="0E1D5462" w:rsidR="00A705E7" w:rsidRDefault="00A705E7">
          <w:r>
            <w:rPr>
              <w:b/>
              <w:bCs/>
              <w:noProof/>
            </w:rPr>
            <w:fldChar w:fldCharType="end"/>
          </w:r>
        </w:p>
      </w:sdtContent>
    </w:sdt>
    <w:p w14:paraId="142CF176" w14:textId="68BAD3E3" w:rsidR="00572F4C" w:rsidRDefault="00572F4C" w:rsidP="008C697D">
      <w:pPr>
        <w:pStyle w:val="ListParagraph"/>
        <w:ind w:left="360"/>
        <w:jc w:val="both"/>
        <w:rPr>
          <w:rFonts w:ascii="Garamond" w:hAnsi="Garamond" w:cs="Arial"/>
          <w:lang w:val="en-US"/>
        </w:rPr>
      </w:pPr>
    </w:p>
    <w:p w14:paraId="625F8F31" w14:textId="5D69E10F" w:rsidR="00572F4C" w:rsidRDefault="00572F4C" w:rsidP="008C697D">
      <w:pPr>
        <w:pStyle w:val="ListParagraph"/>
        <w:ind w:left="360"/>
        <w:jc w:val="both"/>
        <w:rPr>
          <w:rFonts w:ascii="Garamond" w:hAnsi="Garamond" w:cs="Arial"/>
          <w:lang w:val="en-US"/>
        </w:rPr>
      </w:pPr>
    </w:p>
    <w:p w14:paraId="41EBD3F7" w14:textId="41F9956A" w:rsidR="00572F4C" w:rsidRDefault="00572F4C" w:rsidP="008C697D">
      <w:pPr>
        <w:pStyle w:val="ListParagraph"/>
        <w:ind w:left="360"/>
        <w:jc w:val="both"/>
        <w:rPr>
          <w:rFonts w:ascii="Garamond" w:hAnsi="Garamond" w:cs="Arial"/>
          <w:lang w:val="en-US"/>
        </w:rPr>
      </w:pPr>
    </w:p>
    <w:p w14:paraId="1EE5D0B0" w14:textId="7782F386" w:rsidR="00572F4C" w:rsidRDefault="00572F4C" w:rsidP="008C697D">
      <w:pPr>
        <w:pStyle w:val="ListParagraph"/>
        <w:ind w:left="360"/>
        <w:jc w:val="both"/>
        <w:rPr>
          <w:rFonts w:ascii="Garamond" w:hAnsi="Garamond" w:cs="Arial"/>
          <w:lang w:val="en-US"/>
        </w:rPr>
      </w:pPr>
    </w:p>
    <w:p w14:paraId="75C55330" w14:textId="7945CE63" w:rsidR="00572F4C" w:rsidRDefault="00572F4C" w:rsidP="008C697D">
      <w:pPr>
        <w:pStyle w:val="ListParagraph"/>
        <w:ind w:left="360"/>
        <w:jc w:val="both"/>
        <w:rPr>
          <w:rFonts w:ascii="Garamond" w:hAnsi="Garamond" w:cs="Arial"/>
          <w:lang w:val="en-US"/>
        </w:rPr>
      </w:pPr>
    </w:p>
    <w:p w14:paraId="060BABA6" w14:textId="369A4C95" w:rsidR="00572F4C" w:rsidRDefault="00572F4C" w:rsidP="008C697D">
      <w:pPr>
        <w:pStyle w:val="ListParagraph"/>
        <w:ind w:left="360"/>
        <w:jc w:val="both"/>
        <w:rPr>
          <w:rFonts w:ascii="Garamond" w:hAnsi="Garamond" w:cs="Arial"/>
          <w:lang w:val="en-US"/>
        </w:rPr>
      </w:pPr>
    </w:p>
    <w:p w14:paraId="5878CF23" w14:textId="0FA6503F" w:rsidR="00572F4C" w:rsidRDefault="00572F4C" w:rsidP="008C697D">
      <w:pPr>
        <w:pStyle w:val="ListParagraph"/>
        <w:ind w:left="360"/>
        <w:jc w:val="both"/>
        <w:rPr>
          <w:rFonts w:ascii="Garamond" w:hAnsi="Garamond" w:cs="Arial"/>
          <w:lang w:val="en-US"/>
        </w:rPr>
      </w:pPr>
    </w:p>
    <w:p w14:paraId="7A614046" w14:textId="6455AD15" w:rsidR="00572F4C" w:rsidRDefault="00572F4C" w:rsidP="008C697D">
      <w:pPr>
        <w:pStyle w:val="ListParagraph"/>
        <w:ind w:left="360"/>
        <w:jc w:val="both"/>
        <w:rPr>
          <w:rFonts w:ascii="Garamond" w:hAnsi="Garamond" w:cs="Arial"/>
          <w:lang w:val="en-US"/>
        </w:rPr>
      </w:pPr>
    </w:p>
    <w:p w14:paraId="45DDE7D4" w14:textId="32B46C46" w:rsidR="00572F4C" w:rsidRDefault="00572F4C" w:rsidP="008C697D">
      <w:pPr>
        <w:pStyle w:val="ListParagraph"/>
        <w:ind w:left="360"/>
        <w:jc w:val="both"/>
        <w:rPr>
          <w:rFonts w:ascii="Garamond" w:hAnsi="Garamond" w:cs="Arial"/>
          <w:lang w:val="en-US"/>
        </w:rPr>
      </w:pPr>
    </w:p>
    <w:p w14:paraId="4EAA822F" w14:textId="507795CB" w:rsidR="00572F4C" w:rsidRDefault="00572F4C" w:rsidP="008C697D">
      <w:pPr>
        <w:pStyle w:val="ListParagraph"/>
        <w:ind w:left="360"/>
        <w:jc w:val="both"/>
        <w:rPr>
          <w:rFonts w:ascii="Garamond" w:hAnsi="Garamond" w:cs="Arial"/>
          <w:lang w:val="en-US"/>
        </w:rPr>
      </w:pPr>
    </w:p>
    <w:p w14:paraId="16BA5CC6" w14:textId="52F04F60" w:rsidR="00572F4C" w:rsidRDefault="00572F4C" w:rsidP="008C697D">
      <w:pPr>
        <w:pStyle w:val="ListParagraph"/>
        <w:ind w:left="360"/>
        <w:jc w:val="both"/>
        <w:rPr>
          <w:rFonts w:ascii="Garamond" w:hAnsi="Garamond" w:cs="Arial"/>
          <w:lang w:val="en-US"/>
        </w:rPr>
      </w:pPr>
    </w:p>
    <w:p w14:paraId="6821EC44" w14:textId="652B0B60" w:rsidR="00572F4C" w:rsidRDefault="00572F4C" w:rsidP="008C697D">
      <w:pPr>
        <w:pStyle w:val="ListParagraph"/>
        <w:ind w:left="360"/>
        <w:jc w:val="both"/>
        <w:rPr>
          <w:rFonts w:ascii="Garamond" w:hAnsi="Garamond" w:cs="Arial"/>
          <w:lang w:val="en-US"/>
        </w:rPr>
      </w:pPr>
    </w:p>
    <w:p w14:paraId="3F60612E" w14:textId="39185FE8" w:rsidR="00572F4C" w:rsidRDefault="00572F4C" w:rsidP="008C697D">
      <w:pPr>
        <w:pStyle w:val="ListParagraph"/>
        <w:ind w:left="360"/>
        <w:jc w:val="both"/>
        <w:rPr>
          <w:rFonts w:ascii="Garamond" w:hAnsi="Garamond" w:cs="Arial"/>
          <w:lang w:val="en-US"/>
        </w:rPr>
      </w:pPr>
    </w:p>
    <w:p w14:paraId="77242011" w14:textId="0C040BB2" w:rsidR="00572F4C" w:rsidRDefault="00572F4C" w:rsidP="008C697D">
      <w:pPr>
        <w:pStyle w:val="ListParagraph"/>
        <w:ind w:left="360"/>
        <w:jc w:val="both"/>
        <w:rPr>
          <w:rFonts w:ascii="Garamond" w:hAnsi="Garamond" w:cs="Arial"/>
          <w:lang w:val="en-US"/>
        </w:rPr>
      </w:pPr>
    </w:p>
    <w:p w14:paraId="12415EEB" w14:textId="68A94422" w:rsidR="00572F4C" w:rsidRDefault="00572F4C" w:rsidP="008C697D">
      <w:pPr>
        <w:pStyle w:val="ListParagraph"/>
        <w:ind w:left="360"/>
        <w:jc w:val="both"/>
        <w:rPr>
          <w:rFonts w:ascii="Garamond" w:hAnsi="Garamond" w:cs="Arial"/>
          <w:lang w:val="en-US"/>
        </w:rPr>
      </w:pPr>
    </w:p>
    <w:p w14:paraId="40A7CB6E" w14:textId="2EA8982E" w:rsidR="00572F4C" w:rsidRDefault="00572F4C" w:rsidP="008C697D">
      <w:pPr>
        <w:pStyle w:val="ListParagraph"/>
        <w:ind w:left="360"/>
        <w:jc w:val="both"/>
        <w:rPr>
          <w:rFonts w:ascii="Garamond" w:hAnsi="Garamond" w:cs="Arial"/>
          <w:lang w:val="en-US"/>
        </w:rPr>
      </w:pPr>
    </w:p>
    <w:p w14:paraId="14E2D61C" w14:textId="03ECBE7A" w:rsidR="00572F4C" w:rsidRDefault="00572F4C" w:rsidP="008C697D">
      <w:pPr>
        <w:pStyle w:val="ListParagraph"/>
        <w:ind w:left="360"/>
        <w:jc w:val="both"/>
        <w:rPr>
          <w:rFonts w:ascii="Garamond" w:hAnsi="Garamond" w:cs="Arial"/>
          <w:lang w:val="en-US"/>
        </w:rPr>
      </w:pPr>
    </w:p>
    <w:p w14:paraId="2C53F403" w14:textId="77C4BC96" w:rsidR="00572F4C" w:rsidRDefault="00572F4C">
      <w:pPr>
        <w:spacing w:after="0" w:line="240" w:lineRule="auto"/>
        <w:rPr>
          <w:rFonts w:ascii="Garamond" w:hAnsi="Garamond" w:cs="Arial"/>
          <w:lang w:val="en-US"/>
        </w:rPr>
      </w:pPr>
      <w:r>
        <w:rPr>
          <w:rFonts w:ascii="Garamond" w:hAnsi="Garamond" w:cs="Arial"/>
          <w:lang w:val="en-US"/>
        </w:rPr>
        <w:br w:type="page"/>
      </w:r>
    </w:p>
    <w:p w14:paraId="2EA20609" w14:textId="77777777" w:rsidR="00572F4C" w:rsidRDefault="00572F4C" w:rsidP="008C697D">
      <w:pPr>
        <w:pStyle w:val="ListParagraph"/>
        <w:ind w:left="360"/>
        <w:jc w:val="both"/>
        <w:rPr>
          <w:rFonts w:ascii="Garamond" w:hAnsi="Garamond" w:cs="Arial"/>
          <w:lang w:val="en-US"/>
        </w:rPr>
        <w:sectPr w:rsidR="00572F4C" w:rsidSect="00572F4C">
          <w:pgSz w:w="11906" w:h="16838"/>
          <w:pgMar w:top="1260" w:right="1440" w:bottom="1440" w:left="1440" w:header="720" w:footer="720" w:gutter="0"/>
          <w:pgNumType w:fmt="lowerRoman" w:start="1"/>
          <w:cols w:space="720"/>
          <w:titlePg/>
          <w:docGrid w:linePitch="360"/>
        </w:sectPr>
      </w:pPr>
    </w:p>
    <w:p w14:paraId="6F0F14B8" w14:textId="59C7749C" w:rsidR="00A14108" w:rsidRPr="005142A8" w:rsidRDefault="00A14108" w:rsidP="00BB4688">
      <w:pPr>
        <w:pStyle w:val="Heading1"/>
        <w:numPr>
          <w:ilvl w:val="0"/>
          <w:numId w:val="11"/>
        </w:numPr>
        <w:spacing w:before="0" w:after="120" w:line="276" w:lineRule="auto"/>
        <w:rPr>
          <w:rFonts w:ascii="Arial" w:hAnsi="Arial" w:cs="Arial"/>
          <w:sz w:val="22"/>
          <w:szCs w:val="22"/>
        </w:rPr>
      </w:pPr>
      <w:bookmarkStart w:id="8" w:name="_Toc70943214"/>
      <w:r w:rsidRPr="005142A8">
        <w:rPr>
          <w:rFonts w:ascii="Arial" w:hAnsi="Arial" w:cs="Arial"/>
          <w:sz w:val="22"/>
          <w:szCs w:val="22"/>
        </w:rPr>
        <w:lastRenderedPageBreak/>
        <w:t>Background</w:t>
      </w:r>
      <w:bookmarkEnd w:id="8"/>
    </w:p>
    <w:p w14:paraId="63A4AC72" w14:textId="1D3EE523" w:rsidR="00D16B5B" w:rsidRDefault="00D16B5B" w:rsidP="00BB4688">
      <w:pPr>
        <w:spacing w:after="120"/>
        <w:jc w:val="both"/>
        <w:rPr>
          <w:rFonts w:ascii="Arial" w:hAnsi="Arial" w:cs="Arial"/>
          <w:lang w:val="en-US"/>
        </w:rPr>
      </w:pPr>
      <w:r w:rsidRPr="005142A8">
        <w:rPr>
          <w:rFonts w:ascii="Arial" w:hAnsi="Arial" w:cs="Arial"/>
          <w:lang w:val="en-US"/>
        </w:rPr>
        <w:t xml:space="preserve">This report presents macroeconomic developments in the COMESA region </w:t>
      </w:r>
      <w:r w:rsidR="007B1F7D">
        <w:rPr>
          <w:rFonts w:ascii="Arial" w:hAnsi="Arial" w:cs="Arial"/>
          <w:lang w:val="en-US"/>
        </w:rPr>
        <w:t>in</w:t>
      </w:r>
      <w:r w:rsidR="004B7018">
        <w:rPr>
          <w:rFonts w:ascii="Arial" w:hAnsi="Arial" w:cs="Arial"/>
          <w:bCs/>
          <w:lang w:val="en-US"/>
        </w:rPr>
        <w:t xml:space="preserve"> </w:t>
      </w:r>
      <w:r w:rsidRPr="005142A8">
        <w:rPr>
          <w:rFonts w:ascii="Arial" w:hAnsi="Arial" w:cs="Arial"/>
          <w:lang w:val="en-US"/>
        </w:rPr>
        <w:t>202</w:t>
      </w:r>
      <w:r w:rsidR="00A1707D">
        <w:rPr>
          <w:rFonts w:ascii="Arial" w:hAnsi="Arial" w:cs="Arial"/>
          <w:lang w:val="en-US"/>
        </w:rPr>
        <w:t>1</w:t>
      </w:r>
      <w:r w:rsidR="00803497">
        <w:rPr>
          <w:rFonts w:ascii="Arial" w:hAnsi="Arial" w:cs="Arial"/>
          <w:lang w:val="en-US"/>
        </w:rPr>
        <w:t xml:space="preserve">. </w:t>
      </w:r>
      <w:r w:rsidRPr="005142A8">
        <w:rPr>
          <w:rFonts w:ascii="Arial" w:hAnsi="Arial" w:cs="Arial"/>
          <w:lang w:val="en-US"/>
        </w:rPr>
        <w:t>It analyses developments in key macro-economic performance indicators in the region</w:t>
      </w:r>
      <w:r w:rsidR="00453492">
        <w:rPr>
          <w:rFonts w:ascii="Arial" w:hAnsi="Arial" w:cs="Arial"/>
          <w:lang w:val="en-US"/>
        </w:rPr>
        <w:t xml:space="preserve">, </w:t>
      </w:r>
      <w:r w:rsidRPr="005142A8">
        <w:rPr>
          <w:rFonts w:ascii="Arial" w:hAnsi="Arial" w:cs="Arial"/>
          <w:lang w:val="en-US"/>
        </w:rPr>
        <w:t xml:space="preserve">assesses the </w:t>
      </w:r>
      <w:r w:rsidR="007B1F7D" w:rsidRPr="005142A8">
        <w:rPr>
          <w:rFonts w:ascii="Arial" w:hAnsi="Arial" w:cs="Arial"/>
          <w:lang w:val="en-US"/>
        </w:rPr>
        <w:t>medium-term</w:t>
      </w:r>
      <w:r w:rsidRPr="005142A8">
        <w:rPr>
          <w:rFonts w:ascii="Arial" w:hAnsi="Arial" w:cs="Arial"/>
          <w:lang w:val="en-US"/>
        </w:rPr>
        <w:t xml:space="preserve"> prospects</w:t>
      </w:r>
      <w:r w:rsidR="00453492">
        <w:rPr>
          <w:rFonts w:ascii="Arial" w:hAnsi="Arial" w:cs="Arial"/>
          <w:lang w:val="en-US"/>
        </w:rPr>
        <w:t xml:space="preserve"> </w:t>
      </w:r>
      <w:r w:rsidR="00453492" w:rsidRPr="005142A8">
        <w:rPr>
          <w:rFonts w:ascii="Arial" w:hAnsi="Arial" w:cs="Arial"/>
          <w:lang w:val="en-US"/>
        </w:rPr>
        <w:t xml:space="preserve">and provides policy recommendations in the short-to-medium term </w:t>
      </w:r>
      <w:r w:rsidR="00A1707D">
        <w:rPr>
          <w:rFonts w:ascii="Arial" w:hAnsi="Arial" w:cs="Arial"/>
          <w:lang w:val="en-US"/>
        </w:rPr>
        <w:t xml:space="preserve">and </w:t>
      </w:r>
      <w:r w:rsidR="00A14108" w:rsidRPr="005142A8">
        <w:rPr>
          <w:rFonts w:ascii="Arial" w:hAnsi="Arial" w:cs="Arial"/>
          <w:lang w:val="en-US"/>
        </w:rPr>
        <w:t>discusses the risks to the outlook</w:t>
      </w:r>
      <w:r w:rsidR="00453492">
        <w:rPr>
          <w:rFonts w:ascii="Arial" w:hAnsi="Arial" w:cs="Arial"/>
          <w:lang w:val="en-US"/>
        </w:rPr>
        <w:t>.</w:t>
      </w:r>
      <w:r w:rsidR="00A14108" w:rsidRPr="005142A8">
        <w:rPr>
          <w:rFonts w:ascii="Arial" w:hAnsi="Arial" w:cs="Arial"/>
          <w:lang w:val="en-US"/>
        </w:rPr>
        <w:t xml:space="preserve"> </w:t>
      </w:r>
    </w:p>
    <w:p w14:paraId="10E93135" w14:textId="77777777" w:rsidR="00803497" w:rsidRDefault="00803497" w:rsidP="00BB4688">
      <w:pPr>
        <w:spacing w:after="120"/>
        <w:jc w:val="both"/>
        <w:rPr>
          <w:rFonts w:ascii="Arial" w:hAnsi="Arial" w:cs="Arial"/>
          <w:lang w:val="en-US"/>
        </w:rPr>
      </w:pPr>
    </w:p>
    <w:p w14:paraId="70CCB6AB" w14:textId="6F3B2B46" w:rsidR="00A37D3B" w:rsidRDefault="00B14CAE" w:rsidP="00BB4688">
      <w:pPr>
        <w:pStyle w:val="Heading1"/>
        <w:numPr>
          <w:ilvl w:val="0"/>
          <w:numId w:val="10"/>
        </w:numPr>
        <w:spacing w:before="0" w:after="120" w:line="276" w:lineRule="auto"/>
        <w:rPr>
          <w:rFonts w:ascii="Arial" w:hAnsi="Arial" w:cs="Arial"/>
          <w:sz w:val="22"/>
          <w:szCs w:val="22"/>
        </w:rPr>
      </w:pPr>
      <w:bookmarkStart w:id="9" w:name="_Toc505769853"/>
      <w:bookmarkStart w:id="10" w:name="_Toc70943215"/>
      <w:r w:rsidRPr="00B6509D">
        <w:rPr>
          <w:rFonts w:ascii="Arial" w:hAnsi="Arial" w:cs="Arial"/>
          <w:sz w:val="22"/>
          <w:szCs w:val="22"/>
        </w:rPr>
        <w:t>Growth</w:t>
      </w:r>
      <w:bookmarkEnd w:id="9"/>
      <w:bookmarkEnd w:id="10"/>
    </w:p>
    <w:p w14:paraId="0E438762" w14:textId="1C8F6AF4" w:rsidR="00BB4688" w:rsidRDefault="002B20D3" w:rsidP="00BB4688">
      <w:pPr>
        <w:spacing w:after="120"/>
        <w:jc w:val="both"/>
        <w:rPr>
          <w:rFonts w:ascii="Arial" w:hAnsi="Arial" w:cs="Arial"/>
          <w:lang w:val="en-US"/>
        </w:rPr>
      </w:pPr>
      <w:r w:rsidRPr="005142A8">
        <w:rPr>
          <w:rFonts w:ascii="Arial" w:hAnsi="Arial" w:cs="Arial"/>
          <w:lang w:val="en-US"/>
        </w:rPr>
        <w:t xml:space="preserve">COMESA region’s average growth </w:t>
      </w:r>
      <w:r w:rsidR="00503E79">
        <w:rPr>
          <w:rFonts w:ascii="Arial" w:hAnsi="Arial" w:cs="Arial"/>
          <w:lang w:val="en-US"/>
        </w:rPr>
        <w:t xml:space="preserve">rebounded in the second half of 2021, prompting an upward revision in growth estimates from </w:t>
      </w:r>
      <w:r w:rsidR="00C24A8B" w:rsidRPr="005142A8">
        <w:rPr>
          <w:rFonts w:ascii="Arial" w:hAnsi="Arial" w:cs="Arial"/>
          <w:lang w:val="en-US"/>
        </w:rPr>
        <w:t xml:space="preserve">4.3% </w:t>
      </w:r>
      <w:r w:rsidR="00503E79">
        <w:rPr>
          <w:rFonts w:ascii="Arial" w:hAnsi="Arial" w:cs="Arial"/>
          <w:lang w:val="en-US"/>
        </w:rPr>
        <w:t xml:space="preserve">to 5.9% in 2021. </w:t>
      </w:r>
      <w:r w:rsidR="00880143" w:rsidRPr="005142A8">
        <w:rPr>
          <w:rFonts w:ascii="Arial" w:hAnsi="Arial" w:cs="Arial"/>
          <w:lang w:val="en-US"/>
        </w:rPr>
        <w:t xml:space="preserve">In </w:t>
      </w:r>
      <w:r w:rsidR="0011612F">
        <w:rPr>
          <w:rFonts w:ascii="Arial" w:hAnsi="Arial" w:cs="Arial"/>
          <w:lang w:val="en-US"/>
        </w:rPr>
        <w:t>all C</w:t>
      </w:r>
      <w:r w:rsidR="00591847" w:rsidRPr="005142A8">
        <w:rPr>
          <w:rFonts w:ascii="Arial" w:hAnsi="Arial" w:cs="Arial"/>
          <w:lang w:val="en-US"/>
        </w:rPr>
        <w:t>OMESA member countries</w:t>
      </w:r>
      <w:r w:rsidR="00880143" w:rsidRPr="005142A8">
        <w:rPr>
          <w:rFonts w:ascii="Arial" w:hAnsi="Arial" w:cs="Arial"/>
          <w:lang w:val="en-US"/>
        </w:rPr>
        <w:t xml:space="preserve">, growth </w:t>
      </w:r>
      <w:r w:rsidR="0011612F">
        <w:rPr>
          <w:rFonts w:ascii="Arial" w:hAnsi="Arial" w:cs="Arial"/>
          <w:lang w:val="en-US"/>
        </w:rPr>
        <w:t xml:space="preserve">recovered </w:t>
      </w:r>
      <w:r w:rsidR="00B10B5D" w:rsidRPr="005142A8">
        <w:rPr>
          <w:rFonts w:ascii="Arial" w:hAnsi="Arial" w:cs="Arial"/>
          <w:lang w:val="en-US"/>
        </w:rPr>
        <w:t>(</w:t>
      </w:r>
      <w:r w:rsidR="008F7AA0">
        <w:rPr>
          <w:rFonts w:ascii="Arial" w:hAnsi="Arial" w:cs="Arial"/>
          <w:lang w:val="en-US"/>
        </w:rPr>
        <w:t xml:space="preserve">Figure </w:t>
      </w:r>
      <w:r w:rsidR="00B10B5D" w:rsidRPr="00E92998">
        <w:rPr>
          <w:rFonts w:ascii="Arial" w:hAnsi="Arial" w:cs="Arial"/>
          <w:b/>
          <w:lang w:val="en-US"/>
        </w:rPr>
        <w:t>1</w:t>
      </w:r>
      <w:r w:rsidR="00B10B5D" w:rsidRPr="005142A8">
        <w:rPr>
          <w:rFonts w:ascii="Arial" w:hAnsi="Arial" w:cs="Arial"/>
          <w:lang w:val="en-US"/>
        </w:rPr>
        <w:t>)</w:t>
      </w:r>
      <w:r w:rsidR="00FE17BC">
        <w:rPr>
          <w:rFonts w:ascii="Arial" w:hAnsi="Arial" w:cs="Arial"/>
          <w:lang w:val="en-US"/>
        </w:rPr>
        <w:t xml:space="preserve">, </w:t>
      </w:r>
      <w:r w:rsidR="0011612F">
        <w:rPr>
          <w:rFonts w:ascii="Arial" w:hAnsi="Arial" w:cs="Arial"/>
          <w:lang w:val="en-US"/>
        </w:rPr>
        <w:t>primarily on base effects</w:t>
      </w:r>
      <w:r w:rsidR="009F564D">
        <w:rPr>
          <w:rFonts w:ascii="Arial" w:hAnsi="Arial" w:cs="Arial"/>
          <w:lang w:val="en-US"/>
        </w:rPr>
        <w:t xml:space="preserve"> </w:t>
      </w:r>
      <w:r w:rsidR="0052344D">
        <w:rPr>
          <w:rFonts w:ascii="Arial" w:hAnsi="Arial" w:cs="Arial"/>
          <w:lang w:val="en-US"/>
        </w:rPr>
        <w:t xml:space="preserve">owing to </w:t>
      </w:r>
      <w:r w:rsidR="0011612F">
        <w:rPr>
          <w:rFonts w:ascii="Arial" w:hAnsi="Arial" w:cs="Arial"/>
          <w:lang w:val="en-US"/>
        </w:rPr>
        <w:t>the sharp contraction in most countries</w:t>
      </w:r>
      <w:r w:rsidR="0052344D">
        <w:rPr>
          <w:rFonts w:ascii="Arial" w:hAnsi="Arial" w:cs="Arial"/>
          <w:lang w:val="en-US"/>
        </w:rPr>
        <w:t xml:space="preserve"> in 2020</w:t>
      </w:r>
      <w:r w:rsidR="00FE17BC">
        <w:rPr>
          <w:rFonts w:ascii="Arial" w:hAnsi="Arial" w:cs="Arial"/>
          <w:lang w:val="en-US"/>
        </w:rPr>
        <w:t xml:space="preserve">, and in addition, </w:t>
      </w:r>
      <w:r w:rsidR="009F564D">
        <w:rPr>
          <w:rFonts w:ascii="Arial" w:hAnsi="Arial" w:cs="Arial"/>
          <w:lang w:val="en-US"/>
        </w:rPr>
        <w:t xml:space="preserve">significant remittance inflows and rapid vaccination roll out particularly for tourism dependent countries where </w:t>
      </w:r>
      <w:r w:rsidR="009F564D" w:rsidRPr="00B10B5D">
        <w:rPr>
          <w:rFonts w:ascii="Arial" w:hAnsi="Arial" w:cs="Arial"/>
          <w:lang w:val="en-US"/>
        </w:rPr>
        <w:t xml:space="preserve">the pandemic continues to </w:t>
      </w:r>
      <w:r w:rsidR="009F564D">
        <w:rPr>
          <w:rFonts w:ascii="Arial" w:hAnsi="Arial" w:cs="Arial"/>
          <w:lang w:val="en-US"/>
        </w:rPr>
        <w:t xml:space="preserve">pose a </w:t>
      </w:r>
      <w:r w:rsidR="009F564D" w:rsidRPr="00B10B5D">
        <w:rPr>
          <w:rFonts w:ascii="Arial" w:hAnsi="Arial" w:cs="Arial"/>
          <w:lang w:val="en-US"/>
        </w:rPr>
        <w:t>drag</w:t>
      </w:r>
      <w:r w:rsidR="009F564D">
        <w:rPr>
          <w:rFonts w:ascii="Arial" w:hAnsi="Arial" w:cs="Arial"/>
          <w:lang w:val="en-US"/>
        </w:rPr>
        <w:t xml:space="preserve"> on </w:t>
      </w:r>
      <w:r w:rsidR="009F564D" w:rsidRPr="00B10B5D">
        <w:rPr>
          <w:rFonts w:ascii="Arial" w:hAnsi="Arial" w:cs="Arial"/>
          <w:lang w:val="en-US"/>
        </w:rPr>
        <w:t>recovery</w:t>
      </w:r>
      <w:r w:rsidR="00154FE5">
        <w:rPr>
          <w:rFonts w:ascii="Arial" w:hAnsi="Arial" w:cs="Arial"/>
          <w:lang w:val="en-US"/>
        </w:rPr>
        <w:t xml:space="preserve">. </w:t>
      </w:r>
    </w:p>
    <w:p w14:paraId="0A50684B" w14:textId="028591E8" w:rsidR="005142A8" w:rsidRPr="00817708" w:rsidRDefault="00817708" w:rsidP="00817708">
      <w:pPr>
        <w:pStyle w:val="Caption"/>
        <w:spacing w:after="0"/>
        <w:rPr>
          <w:rFonts w:ascii="Arial" w:hAnsi="Arial" w:cs="Arial"/>
          <w:i w:val="0"/>
          <w:iCs w:val="0"/>
          <w:color w:val="auto"/>
          <w:sz w:val="22"/>
          <w:szCs w:val="22"/>
          <w:lang w:val="en-US"/>
        </w:rPr>
      </w:pPr>
      <w:r w:rsidRPr="00817708">
        <w:rPr>
          <w:rFonts w:ascii="Arial" w:hAnsi="Arial" w:cs="Arial"/>
          <w:i w:val="0"/>
          <w:iCs w:val="0"/>
          <w:color w:val="auto"/>
          <w:sz w:val="22"/>
          <w:szCs w:val="22"/>
          <w:lang w:val="en-US"/>
        </w:rPr>
        <w:t xml:space="preserve">Figure </w:t>
      </w:r>
      <w:r w:rsidRPr="00817708">
        <w:rPr>
          <w:rFonts w:ascii="Arial" w:hAnsi="Arial" w:cs="Arial"/>
          <w:i w:val="0"/>
          <w:iCs w:val="0"/>
          <w:color w:val="auto"/>
          <w:sz w:val="22"/>
          <w:szCs w:val="22"/>
          <w:lang w:val="en-US"/>
        </w:rPr>
        <w:fldChar w:fldCharType="begin"/>
      </w:r>
      <w:r w:rsidRPr="00817708">
        <w:rPr>
          <w:rFonts w:ascii="Arial" w:hAnsi="Arial" w:cs="Arial"/>
          <w:i w:val="0"/>
          <w:iCs w:val="0"/>
          <w:color w:val="auto"/>
          <w:sz w:val="22"/>
          <w:szCs w:val="22"/>
          <w:lang w:val="en-US"/>
        </w:rPr>
        <w:instrText xml:space="preserve"> SEQ Figure \* ARABIC </w:instrText>
      </w:r>
      <w:r w:rsidRPr="00817708">
        <w:rPr>
          <w:rFonts w:ascii="Arial" w:hAnsi="Arial" w:cs="Arial"/>
          <w:i w:val="0"/>
          <w:iCs w:val="0"/>
          <w:color w:val="auto"/>
          <w:sz w:val="22"/>
          <w:szCs w:val="22"/>
          <w:lang w:val="en-US"/>
        </w:rPr>
        <w:fldChar w:fldCharType="separate"/>
      </w:r>
      <w:r w:rsidR="00D32533">
        <w:rPr>
          <w:rFonts w:ascii="Arial" w:hAnsi="Arial" w:cs="Arial"/>
          <w:i w:val="0"/>
          <w:iCs w:val="0"/>
          <w:noProof/>
          <w:color w:val="auto"/>
          <w:sz w:val="22"/>
          <w:szCs w:val="22"/>
          <w:lang w:val="en-US"/>
        </w:rPr>
        <w:t>1</w:t>
      </w:r>
      <w:r w:rsidRPr="00817708">
        <w:rPr>
          <w:rFonts w:ascii="Arial" w:hAnsi="Arial" w:cs="Arial"/>
          <w:i w:val="0"/>
          <w:iCs w:val="0"/>
          <w:color w:val="auto"/>
          <w:sz w:val="22"/>
          <w:szCs w:val="22"/>
          <w:lang w:val="en-US"/>
        </w:rPr>
        <w:fldChar w:fldCharType="end"/>
      </w:r>
      <w:r w:rsidRPr="00817708">
        <w:rPr>
          <w:rFonts w:ascii="Arial" w:hAnsi="Arial" w:cs="Arial"/>
          <w:i w:val="0"/>
          <w:iCs w:val="0"/>
          <w:color w:val="auto"/>
          <w:sz w:val="22"/>
          <w:szCs w:val="22"/>
          <w:lang w:val="en-US"/>
        </w:rPr>
        <w:t xml:space="preserve">: COMESA </w:t>
      </w:r>
      <w:r>
        <w:rPr>
          <w:rFonts w:ascii="Arial" w:hAnsi="Arial" w:cs="Arial"/>
          <w:i w:val="0"/>
          <w:iCs w:val="0"/>
          <w:color w:val="auto"/>
          <w:sz w:val="22"/>
          <w:szCs w:val="22"/>
          <w:lang w:val="en-US"/>
        </w:rPr>
        <w:t xml:space="preserve">average real </w:t>
      </w:r>
      <w:r w:rsidRPr="00817708">
        <w:rPr>
          <w:rFonts w:ascii="Arial" w:hAnsi="Arial" w:cs="Arial"/>
          <w:i w:val="0"/>
          <w:iCs w:val="0"/>
          <w:color w:val="auto"/>
          <w:sz w:val="22"/>
          <w:szCs w:val="22"/>
          <w:lang w:val="en-US"/>
        </w:rPr>
        <w:t>GDP Growth (</w:t>
      </w:r>
      <w:r>
        <w:rPr>
          <w:rFonts w:ascii="Arial" w:hAnsi="Arial" w:cs="Arial"/>
          <w:i w:val="0"/>
          <w:iCs w:val="0"/>
          <w:color w:val="auto"/>
          <w:sz w:val="22"/>
          <w:szCs w:val="22"/>
          <w:lang w:val="en-US"/>
        </w:rPr>
        <w:t>y-o-y % change</w:t>
      </w:r>
      <w:r w:rsidRPr="00817708">
        <w:rPr>
          <w:rFonts w:ascii="Arial" w:hAnsi="Arial" w:cs="Arial"/>
          <w:i w:val="0"/>
          <w:iCs w:val="0"/>
          <w:color w:val="auto"/>
          <w:sz w:val="22"/>
          <w:szCs w:val="22"/>
          <w:lang w:val="en-US"/>
        </w:rPr>
        <w:t>)</w:t>
      </w:r>
      <w:r w:rsidR="00B14CAE" w:rsidRPr="00817708">
        <w:rPr>
          <w:rFonts w:ascii="Arial" w:hAnsi="Arial" w:cs="Arial"/>
          <w:i w:val="0"/>
          <w:iCs w:val="0"/>
          <w:color w:val="auto"/>
          <w:sz w:val="22"/>
          <w:szCs w:val="22"/>
          <w:lang w:val="en-US"/>
        </w:rPr>
        <w:t xml:space="preserve"> </w:t>
      </w:r>
    </w:p>
    <w:p w14:paraId="386F2C84" w14:textId="6FBAB3D0" w:rsidR="005142A8" w:rsidRDefault="005773A9" w:rsidP="00B14CAE">
      <w:pPr>
        <w:pStyle w:val="BodyText2"/>
        <w:jc w:val="center"/>
        <w:rPr>
          <w:rFonts w:cs="Arial"/>
          <w:noProof/>
          <w:sz w:val="22"/>
          <w:szCs w:val="22"/>
          <w:lang w:val="en-US"/>
        </w:rPr>
      </w:pPr>
      <w:r>
        <w:rPr>
          <w:noProof/>
          <w:lang w:val="en-US" w:eastAsia="en-US"/>
        </w:rPr>
        <w:drawing>
          <wp:inline distT="0" distB="0" distL="0" distR="0" wp14:anchorId="68911577" wp14:editId="2CBEFAFC">
            <wp:extent cx="4869711" cy="2296160"/>
            <wp:effectExtent l="0" t="0" r="0" b="0"/>
            <wp:docPr id="14" name="Chart 14">
              <a:extLst xmlns:a="http://schemas.openxmlformats.org/drawingml/2006/main">
                <a:ext uri="{FF2B5EF4-FFF2-40B4-BE49-F238E27FC236}">
                  <a16:creationId xmlns:a16="http://schemas.microsoft.com/office/drawing/2014/main" id="{73AFD368-F3B1-7BAA-AE9F-29F0344C91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5A892CE" w14:textId="0C657995" w:rsidR="00CC25ED" w:rsidRPr="004C6F8E" w:rsidRDefault="005142A8" w:rsidP="005142A8">
      <w:pPr>
        <w:pStyle w:val="BodyText2"/>
        <w:rPr>
          <w:rFonts w:eastAsia="Calibri" w:cs="Arial"/>
          <w:b w:val="0"/>
          <w:sz w:val="20"/>
          <w:szCs w:val="20"/>
          <w:lang w:val="en-GB" w:bidi="fr-FR"/>
        </w:rPr>
      </w:pPr>
      <w:r w:rsidRPr="004C6F8E">
        <w:rPr>
          <w:rFonts w:eastAsia="Calibri" w:cs="Arial"/>
          <w:b w:val="0"/>
          <w:sz w:val="20"/>
          <w:szCs w:val="20"/>
          <w:lang w:val="en-GB" w:bidi="fr-FR"/>
        </w:rPr>
        <w:t>Source: IMF REO Sub Saharan Africa April 202</w:t>
      </w:r>
      <w:r w:rsidR="0089542E">
        <w:rPr>
          <w:rFonts w:eastAsia="Calibri" w:cs="Arial"/>
          <w:b w:val="0"/>
          <w:sz w:val="20"/>
          <w:szCs w:val="20"/>
          <w:lang w:val="en-GB" w:bidi="fr-FR"/>
        </w:rPr>
        <w:t>2</w:t>
      </w:r>
    </w:p>
    <w:p w14:paraId="2B431B9A" w14:textId="78AFA778" w:rsidR="001A7612" w:rsidRDefault="001A7612" w:rsidP="0089542E">
      <w:pPr>
        <w:spacing w:after="160"/>
        <w:jc w:val="both"/>
        <w:rPr>
          <w:rFonts w:ascii="Arial" w:hAnsi="Arial" w:cs="Arial"/>
          <w:lang w:val="en-US"/>
        </w:rPr>
      </w:pPr>
    </w:p>
    <w:p w14:paraId="5CBEDD75" w14:textId="77777777" w:rsidR="008F7AA0" w:rsidRDefault="008F7AA0" w:rsidP="008F7AA0">
      <w:pPr>
        <w:spacing w:after="120"/>
        <w:jc w:val="both"/>
        <w:rPr>
          <w:rFonts w:ascii="Arial" w:hAnsi="Arial" w:cs="Arial"/>
          <w:bCs/>
          <w:lang w:val="en-US" w:eastAsia="en-US" w:bidi="ar-SA"/>
        </w:rPr>
      </w:pPr>
      <w:r>
        <w:rPr>
          <w:rFonts w:ascii="Arial" w:hAnsi="Arial" w:cs="Arial"/>
          <w:lang w:val="en-US"/>
        </w:rPr>
        <w:t>Going forward, the region’s growth momentum is projected to slow in 2022 to 4.8% on confluence of several factors. The global economic shock triggered by the geopolitical tensions</w:t>
      </w:r>
      <w:r w:rsidRPr="002C20DD">
        <w:rPr>
          <w:rFonts w:ascii="Arial" w:hAnsi="Arial" w:cs="Arial"/>
          <w:lang w:val="en-US"/>
        </w:rPr>
        <w:t>—</w:t>
      </w:r>
      <w:r>
        <w:rPr>
          <w:rFonts w:ascii="Arial" w:hAnsi="Arial" w:cs="Arial"/>
          <w:lang w:val="en-US"/>
        </w:rPr>
        <w:t xml:space="preserve">the Russia-Ukraine war is affecting the </w:t>
      </w:r>
      <w:r w:rsidRPr="001108AC">
        <w:rPr>
          <w:rFonts w:ascii="Arial" w:hAnsi="Arial" w:cs="Arial"/>
          <w:lang w:val="en-US"/>
        </w:rPr>
        <w:t>region through its effect on global commodity prices</w:t>
      </w:r>
      <w:r>
        <w:rPr>
          <w:rFonts w:ascii="Arial" w:hAnsi="Arial" w:cs="Arial"/>
          <w:lang w:val="en-US"/>
        </w:rPr>
        <w:t xml:space="preserve">. Save for the few regions’ commodity exporters which could </w:t>
      </w:r>
      <w:r w:rsidRPr="003068B0">
        <w:rPr>
          <w:rFonts w:ascii="Arial" w:hAnsi="Arial" w:cs="Arial"/>
          <w:lang w:val="en-US"/>
        </w:rPr>
        <w:t>generat</w:t>
      </w:r>
      <w:r>
        <w:rPr>
          <w:rFonts w:ascii="Arial" w:hAnsi="Arial" w:cs="Arial"/>
          <w:lang w:val="en-US"/>
        </w:rPr>
        <w:t xml:space="preserve">e </w:t>
      </w:r>
      <w:r w:rsidRPr="003068B0">
        <w:rPr>
          <w:rFonts w:ascii="Arial" w:hAnsi="Arial" w:cs="Arial"/>
          <w:lang w:val="en-US"/>
        </w:rPr>
        <w:t>sizable fiscal windfalls</w:t>
      </w:r>
      <w:r>
        <w:rPr>
          <w:rFonts w:ascii="Arial" w:hAnsi="Arial" w:cs="Arial"/>
          <w:lang w:val="en-US"/>
        </w:rPr>
        <w:t xml:space="preserve"> as they face stronger global export demand, higher commodity prices could undermine fiscal and external balances in commodity importing countries. This has compounded the pressing policy challenges surrounding the vulnerability to new waves of Covid-19 infections.  While vaccination rates have accelerated reaching the IMF-proposed 40% vaccination rates for 2021 in some regional countries such as Rwanda, Mauritius and Seychelles, the rates and pace of vaccination remain both inadequate and comparatively much slower in a large majority of COMESA region countries (</w:t>
      </w:r>
      <w:r w:rsidRPr="0016046B">
        <w:rPr>
          <w:rFonts w:ascii="Arial" w:hAnsi="Arial" w:cs="Arial"/>
          <w:bCs/>
          <w:lang w:val="en-US" w:eastAsia="en-US" w:bidi="ar-SA"/>
        </w:rPr>
        <w:t>REO</w:t>
      </w:r>
      <w:r>
        <w:rPr>
          <w:rFonts w:ascii="Arial" w:hAnsi="Arial" w:cs="Arial"/>
          <w:bCs/>
          <w:lang w:val="en-US" w:eastAsia="en-US" w:bidi="ar-SA"/>
        </w:rPr>
        <w:t>/</w:t>
      </w:r>
      <w:r w:rsidRPr="0016046B">
        <w:rPr>
          <w:rFonts w:ascii="Arial" w:hAnsi="Arial" w:cs="Arial"/>
          <w:bCs/>
          <w:lang w:val="en-US" w:eastAsia="en-US" w:bidi="ar-SA"/>
        </w:rPr>
        <w:t>Sub Saharan Africa</w:t>
      </w:r>
      <w:r>
        <w:rPr>
          <w:rFonts w:ascii="Arial" w:hAnsi="Arial" w:cs="Arial"/>
          <w:bCs/>
          <w:lang w:val="en-US" w:eastAsia="en-US" w:bidi="ar-SA"/>
        </w:rPr>
        <w:t>/</w:t>
      </w:r>
      <w:r w:rsidRPr="0016046B">
        <w:rPr>
          <w:rFonts w:ascii="Arial" w:hAnsi="Arial" w:cs="Arial"/>
          <w:bCs/>
          <w:lang w:val="en-US" w:eastAsia="en-US" w:bidi="ar-SA"/>
        </w:rPr>
        <w:t xml:space="preserve"> </w:t>
      </w:r>
      <w:r w:rsidRPr="003D5E12">
        <w:rPr>
          <w:rFonts w:ascii="Arial" w:hAnsi="Arial" w:cs="Arial"/>
          <w:bCs/>
          <w:lang w:val="en-US" w:eastAsia="en-US" w:bidi="ar-SA"/>
        </w:rPr>
        <w:t>Middle East and Central Asia</w:t>
      </w:r>
      <w:r w:rsidRPr="0016046B">
        <w:rPr>
          <w:rFonts w:ascii="Arial" w:hAnsi="Arial" w:cs="Arial"/>
          <w:bCs/>
          <w:lang w:val="en-US" w:eastAsia="en-US" w:bidi="ar-SA"/>
        </w:rPr>
        <w:t xml:space="preserve"> (April 2022)</w:t>
      </w:r>
      <w:r>
        <w:rPr>
          <w:rFonts w:ascii="Arial" w:hAnsi="Arial" w:cs="Arial"/>
          <w:bCs/>
          <w:lang w:val="en-US" w:eastAsia="en-US" w:bidi="ar-SA"/>
        </w:rPr>
        <w:t xml:space="preserve">. The slow vaccination roll out in the latter countries increases the vulnerability to new Covid-19 waves and increases the risk of new variants. </w:t>
      </w:r>
    </w:p>
    <w:p w14:paraId="2142C0C6" w14:textId="77777777" w:rsidR="008F7AA0" w:rsidRDefault="008F7AA0" w:rsidP="008F7AA0">
      <w:pPr>
        <w:spacing w:after="120"/>
        <w:jc w:val="both"/>
        <w:rPr>
          <w:rFonts w:ascii="Arial" w:hAnsi="Arial" w:cs="Arial"/>
          <w:lang w:val="en-US"/>
        </w:rPr>
      </w:pPr>
      <w:r>
        <w:rPr>
          <w:rFonts w:ascii="Arial" w:hAnsi="Arial" w:cs="Arial"/>
          <w:bCs/>
          <w:lang w:val="en-US" w:eastAsia="en-US" w:bidi="ar-SA"/>
        </w:rPr>
        <w:t xml:space="preserve">Growth is also </w:t>
      </w:r>
      <w:bookmarkStart w:id="11" w:name="_Hlk115942328"/>
      <w:r>
        <w:rPr>
          <w:rFonts w:ascii="Arial" w:hAnsi="Arial" w:cs="Arial"/>
          <w:bCs/>
          <w:lang w:val="en-US" w:eastAsia="en-US" w:bidi="ar-SA"/>
        </w:rPr>
        <w:t xml:space="preserve">weighed down by </w:t>
      </w:r>
      <w:r>
        <w:rPr>
          <w:rFonts w:ascii="Arial" w:hAnsi="Arial" w:cs="Arial"/>
          <w:lang w:val="en-US"/>
        </w:rPr>
        <w:t xml:space="preserve">sharper-than-expected tightening in financial conditions in Advanced Economies; </w:t>
      </w:r>
      <w:r w:rsidRPr="004F223B">
        <w:rPr>
          <w:rFonts w:ascii="Arial" w:hAnsi="Arial" w:cs="Arial"/>
          <w:lang w:val="en-US"/>
        </w:rPr>
        <w:t>several armed conflicts and terrorist threats</w:t>
      </w:r>
      <w:r>
        <w:rPr>
          <w:rFonts w:ascii="Arial" w:hAnsi="Arial" w:cs="Arial"/>
          <w:lang w:val="en-US"/>
        </w:rPr>
        <w:t xml:space="preserve"> particularly in Ethiopia and in the Democratic Republic of Congo; severe exposure to </w:t>
      </w:r>
      <w:r w:rsidRPr="00C339B5">
        <w:rPr>
          <w:rFonts w:ascii="Arial" w:hAnsi="Arial" w:cs="Arial"/>
          <w:lang w:val="en-US"/>
        </w:rPr>
        <w:t>climate</w:t>
      </w:r>
      <w:r>
        <w:rPr>
          <w:rFonts w:ascii="Arial" w:hAnsi="Arial" w:cs="Arial"/>
          <w:lang w:val="en-US"/>
        </w:rPr>
        <w:t xml:space="preserve"> </w:t>
      </w:r>
      <w:r w:rsidRPr="00C339B5">
        <w:rPr>
          <w:rFonts w:ascii="Arial" w:hAnsi="Arial" w:cs="Arial"/>
          <w:lang w:val="en-US"/>
        </w:rPr>
        <w:t>related shocks</w:t>
      </w:r>
      <w:r>
        <w:rPr>
          <w:rFonts w:ascii="Arial" w:hAnsi="Arial" w:cs="Arial"/>
          <w:lang w:val="en-US"/>
        </w:rPr>
        <w:t xml:space="preserve"> and headwinds from lower global demand on slowdown in global economic activity which is partly due to tightening monetary conditions</w:t>
      </w:r>
      <w:bookmarkEnd w:id="11"/>
      <w:r>
        <w:rPr>
          <w:rFonts w:ascii="Arial" w:hAnsi="Arial" w:cs="Arial"/>
          <w:lang w:val="en-US"/>
        </w:rPr>
        <w:t xml:space="preserve">. The resurgence of monkeypox epidemic complicates the situations further. </w:t>
      </w:r>
      <w:r>
        <w:rPr>
          <w:rFonts w:ascii="Arial" w:hAnsi="Arial" w:cs="Arial"/>
          <w:lang w:val="en-US"/>
        </w:rPr>
        <w:lastRenderedPageBreak/>
        <w:t xml:space="preserve">Looking further outward, </w:t>
      </w:r>
      <w:bookmarkStart w:id="12" w:name="_Hlk115943145"/>
      <w:r>
        <w:rPr>
          <w:rFonts w:ascii="Arial" w:hAnsi="Arial" w:cs="Arial"/>
          <w:lang w:val="en-US"/>
        </w:rPr>
        <w:t>IMF projects the region’s growth</w:t>
      </w:r>
      <w:r w:rsidRPr="00C339B5">
        <w:rPr>
          <w:rFonts w:ascii="Arial" w:hAnsi="Arial" w:cs="Arial"/>
          <w:lang w:val="en-US"/>
        </w:rPr>
        <w:t xml:space="preserve"> to accelerate </w:t>
      </w:r>
      <w:r>
        <w:rPr>
          <w:rFonts w:ascii="Arial" w:hAnsi="Arial" w:cs="Arial"/>
          <w:lang w:val="en-US"/>
        </w:rPr>
        <w:t xml:space="preserve">to </w:t>
      </w:r>
      <w:r w:rsidRPr="00C339B5">
        <w:rPr>
          <w:rFonts w:ascii="Arial" w:hAnsi="Arial" w:cs="Arial"/>
          <w:lang w:val="en-US"/>
        </w:rPr>
        <w:t>5.5%</w:t>
      </w:r>
      <w:r>
        <w:rPr>
          <w:rFonts w:ascii="Arial" w:hAnsi="Arial" w:cs="Arial"/>
          <w:lang w:val="en-US"/>
        </w:rPr>
        <w:t xml:space="preserve"> </w:t>
      </w:r>
      <w:r w:rsidRPr="00C339B5">
        <w:rPr>
          <w:rFonts w:ascii="Arial" w:hAnsi="Arial" w:cs="Arial"/>
          <w:lang w:val="en-US"/>
        </w:rPr>
        <w:t xml:space="preserve">in 2023, albeit remains </w:t>
      </w:r>
      <w:r>
        <w:rPr>
          <w:rFonts w:ascii="Arial" w:hAnsi="Arial" w:cs="Arial"/>
          <w:lang w:val="en-US"/>
        </w:rPr>
        <w:t xml:space="preserve">subdued </w:t>
      </w:r>
      <w:r w:rsidRPr="00C339B5">
        <w:rPr>
          <w:rFonts w:ascii="Arial" w:hAnsi="Arial" w:cs="Arial"/>
          <w:lang w:val="en-US"/>
        </w:rPr>
        <w:t xml:space="preserve">relative to pre-pandemic </w:t>
      </w:r>
      <w:bookmarkEnd w:id="12"/>
      <w:r w:rsidRPr="005142A8">
        <w:rPr>
          <w:rFonts w:ascii="Arial" w:hAnsi="Arial" w:cs="Arial"/>
          <w:lang w:val="en-US"/>
        </w:rPr>
        <w:t>(</w:t>
      </w:r>
      <w:r w:rsidRPr="00E92998">
        <w:rPr>
          <w:rFonts w:ascii="Arial" w:hAnsi="Arial" w:cs="Arial"/>
          <w:b/>
          <w:lang w:val="en-US"/>
        </w:rPr>
        <w:t>Fig. 1</w:t>
      </w:r>
      <w:r w:rsidRPr="005142A8">
        <w:rPr>
          <w:rFonts w:ascii="Arial" w:hAnsi="Arial" w:cs="Arial"/>
          <w:lang w:val="en-US"/>
        </w:rPr>
        <w:t>).</w:t>
      </w:r>
    </w:p>
    <w:p w14:paraId="1C46E123" w14:textId="77777777" w:rsidR="008F7AA0" w:rsidRDefault="008F7AA0" w:rsidP="0089542E">
      <w:pPr>
        <w:spacing w:after="160"/>
        <w:jc w:val="both"/>
        <w:rPr>
          <w:rFonts w:ascii="Arial" w:hAnsi="Arial" w:cs="Arial"/>
          <w:lang w:val="en-US"/>
        </w:rPr>
      </w:pPr>
    </w:p>
    <w:p w14:paraId="1730FDEC" w14:textId="77777777" w:rsidR="00C76C27" w:rsidRPr="008C697D" w:rsidRDefault="00C76C27" w:rsidP="00BB4688">
      <w:pPr>
        <w:pStyle w:val="Heading1"/>
        <w:numPr>
          <w:ilvl w:val="0"/>
          <w:numId w:val="10"/>
        </w:numPr>
        <w:spacing w:before="0" w:after="120" w:line="276" w:lineRule="auto"/>
        <w:rPr>
          <w:rFonts w:ascii="Arial" w:hAnsi="Arial" w:cs="Arial"/>
          <w:sz w:val="22"/>
          <w:szCs w:val="22"/>
        </w:rPr>
      </w:pPr>
      <w:bookmarkStart w:id="13" w:name="_Toc70943216"/>
      <w:bookmarkStart w:id="14" w:name="_Toc505769856"/>
      <w:r w:rsidRPr="008C697D">
        <w:rPr>
          <w:rFonts w:ascii="Arial" w:hAnsi="Arial" w:cs="Arial"/>
          <w:sz w:val="22"/>
          <w:szCs w:val="22"/>
        </w:rPr>
        <w:t>Inflation Rate</w:t>
      </w:r>
      <w:bookmarkEnd w:id="13"/>
    </w:p>
    <w:p w14:paraId="438B9D60" w14:textId="188B346D" w:rsidR="00BB4688" w:rsidRDefault="00C76C27" w:rsidP="00BB4688">
      <w:pPr>
        <w:spacing w:after="120"/>
        <w:jc w:val="both"/>
        <w:rPr>
          <w:rFonts w:ascii="Arial" w:hAnsi="Arial" w:cs="Arial"/>
          <w:lang w:val="en-US"/>
        </w:rPr>
      </w:pPr>
      <w:r>
        <w:rPr>
          <w:rFonts w:ascii="Arial" w:hAnsi="Arial" w:cs="Arial"/>
          <w:lang w:val="en-US"/>
        </w:rPr>
        <w:t>The COMESA r</w:t>
      </w:r>
      <w:r w:rsidRPr="008C697D">
        <w:rPr>
          <w:rFonts w:ascii="Arial" w:hAnsi="Arial" w:cs="Arial"/>
          <w:lang w:val="en-US"/>
        </w:rPr>
        <w:t xml:space="preserve">egion wide average inflation rate </w:t>
      </w:r>
      <w:bookmarkStart w:id="15" w:name="_Hlk87455930"/>
      <w:r w:rsidR="004F6134">
        <w:rPr>
          <w:rFonts w:ascii="Arial" w:hAnsi="Arial" w:cs="Arial"/>
          <w:lang w:val="en-US"/>
        </w:rPr>
        <w:t xml:space="preserve">decelerated to 14.6% in 2021 </w:t>
      </w:r>
      <w:r>
        <w:rPr>
          <w:rFonts w:ascii="Arial" w:hAnsi="Arial" w:cs="Arial"/>
          <w:lang w:val="en-US"/>
        </w:rPr>
        <w:t>from 1</w:t>
      </w:r>
      <w:r w:rsidR="004F6134">
        <w:rPr>
          <w:rFonts w:ascii="Arial" w:hAnsi="Arial" w:cs="Arial"/>
          <w:lang w:val="en-US"/>
        </w:rPr>
        <w:t>7.</w:t>
      </w:r>
      <w:r>
        <w:rPr>
          <w:rFonts w:ascii="Arial" w:hAnsi="Arial" w:cs="Arial"/>
          <w:lang w:val="en-US"/>
        </w:rPr>
        <w:t>3</w:t>
      </w:r>
      <w:r w:rsidRPr="008C697D">
        <w:rPr>
          <w:rFonts w:ascii="Arial" w:hAnsi="Arial" w:cs="Arial"/>
          <w:lang w:val="en-US"/>
        </w:rPr>
        <w:t>% in 20</w:t>
      </w:r>
      <w:r w:rsidR="004F6134">
        <w:rPr>
          <w:rFonts w:ascii="Arial" w:hAnsi="Arial" w:cs="Arial"/>
          <w:lang w:val="en-US"/>
        </w:rPr>
        <w:t>20</w:t>
      </w:r>
      <w:bookmarkEnd w:id="15"/>
      <w:r>
        <w:rPr>
          <w:rFonts w:ascii="Arial" w:hAnsi="Arial" w:cs="Arial"/>
          <w:lang w:val="en-US"/>
        </w:rPr>
        <w:t xml:space="preserve"> </w:t>
      </w:r>
      <w:r w:rsidRPr="008C697D">
        <w:rPr>
          <w:rFonts w:ascii="Arial" w:hAnsi="Arial" w:cs="Arial"/>
          <w:lang w:val="en-US"/>
        </w:rPr>
        <w:t>(</w:t>
      </w:r>
      <w:r w:rsidR="008F7AA0">
        <w:rPr>
          <w:rFonts w:ascii="Arial" w:hAnsi="Arial" w:cs="Arial"/>
          <w:b/>
          <w:bCs/>
          <w:lang w:val="en-US"/>
        </w:rPr>
        <w:t xml:space="preserve">Figure </w:t>
      </w:r>
      <w:r w:rsidR="00E66874" w:rsidRPr="00C4413A">
        <w:rPr>
          <w:rFonts w:ascii="Arial" w:hAnsi="Arial" w:cs="Arial"/>
          <w:b/>
          <w:bCs/>
          <w:lang w:val="en-US"/>
        </w:rPr>
        <w:t>2</w:t>
      </w:r>
      <w:r w:rsidRPr="008C697D">
        <w:rPr>
          <w:rFonts w:ascii="Arial" w:hAnsi="Arial" w:cs="Arial"/>
          <w:lang w:val="en-US"/>
        </w:rPr>
        <w:t>)</w:t>
      </w:r>
      <w:r w:rsidR="00D6340E">
        <w:rPr>
          <w:rFonts w:ascii="Arial" w:hAnsi="Arial" w:cs="Arial"/>
          <w:lang w:val="en-US"/>
        </w:rPr>
        <w:t xml:space="preserve"> but down side risks to the outlook loom. </w:t>
      </w:r>
      <w:bookmarkStart w:id="16" w:name="_Hlk87455983"/>
      <w:r w:rsidR="00D6340E">
        <w:rPr>
          <w:rFonts w:ascii="Arial" w:hAnsi="Arial" w:cs="Arial"/>
          <w:lang w:val="en-US"/>
        </w:rPr>
        <w:t xml:space="preserve">There was </w:t>
      </w:r>
      <w:r w:rsidR="00A30C92">
        <w:rPr>
          <w:rFonts w:ascii="Arial" w:hAnsi="Arial" w:cs="Arial"/>
          <w:lang w:val="en-US"/>
        </w:rPr>
        <w:t>s</w:t>
      </w:r>
      <w:r w:rsidR="00C21229">
        <w:rPr>
          <w:rFonts w:ascii="Arial" w:hAnsi="Arial" w:cs="Arial"/>
          <w:lang w:val="en-US"/>
        </w:rPr>
        <w:t xml:space="preserve">trong </w:t>
      </w:r>
      <w:r w:rsidR="00A30C92">
        <w:rPr>
          <w:rFonts w:ascii="Arial" w:hAnsi="Arial" w:cs="Arial"/>
          <w:lang w:val="en-US"/>
        </w:rPr>
        <w:t>build-up of inflationary pressures in most COMESA countries</w:t>
      </w:r>
      <w:r w:rsidR="00A574CB">
        <w:rPr>
          <w:rFonts w:ascii="Arial" w:hAnsi="Arial" w:cs="Arial"/>
          <w:lang w:val="en-US"/>
        </w:rPr>
        <w:t xml:space="preserve"> in 2021</w:t>
      </w:r>
      <w:r w:rsidR="007D07A0">
        <w:rPr>
          <w:rFonts w:ascii="Arial" w:hAnsi="Arial" w:cs="Arial"/>
          <w:lang w:val="en-US"/>
        </w:rPr>
        <w:t xml:space="preserve">, </w:t>
      </w:r>
      <w:r w:rsidR="00A574CB">
        <w:rPr>
          <w:rFonts w:ascii="Arial" w:hAnsi="Arial" w:cs="Arial"/>
          <w:lang w:val="en-US"/>
        </w:rPr>
        <w:t xml:space="preserve">particularly in countries that either experienced larger depreciations of their currencies or have greater reliance on food imports or suffered </w:t>
      </w:r>
      <w:r w:rsidR="007D07A0">
        <w:rPr>
          <w:rFonts w:ascii="Arial" w:hAnsi="Arial" w:cs="Arial"/>
          <w:lang w:val="en-US"/>
        </w:rPr>
        <w:t>droughts</w:t>
      </w:r>
      <w:r w:rsidR="00463718">
        <w:rPr>
          <w:rFonts w:ascii="Arial" w:hAnsi="Arial" w:cs="Arial"/>
          <w:lang w:val="en-US"/>
        </w:rPr>
        <w:t xml:space="preserve">, </w:t>
      </w:r>
      <w:r w:rsidR="007B4A34">
        <w:rPr>
          <w:rFonts w:ascii="Arial" w:hAnsi="Arial" w:cs="Arial"/>
          <w:lang w:val="en-US"/>
        </w:rPr>
        <w:t xml:space="preserve">storms and floods </w:t>
      </w:r>
      <w:r w:rsidR="00463718">
        <w:rPr>
          <w:rFonts w:ascii="Arial" w:hAnsi="Arial" w:cs="Arial"/>
          <w:lang w:val="en-US"/>
        </w:rPr>
        <w:t xml:space="preserve">which amplified the effect of distortions in global supply chain and a </w:t>
      </w:r>
      <w:r w:rsidR="00591856">
        <w:rPr>
          <w:rFonts w:ascii="Arial" w:hAnsi="Arial" w:cs="Arial"/>
          <w:lang w:val="en-US"/>
        </w:rPr>
        <w:t xml:space="preserve">significant increase </w:t>
      </w:r>
      <w:r w:rsidR="00E4131D">
        <w:rPr>
          <w:rFonts w:ascii="Arial" w:hAnsi="Arial" w:cs="Arial"/>
          <w:lang w:val="en-US"/>
        </w:rPr>
        <w:t xml:space="preserve">in </w:t>
      </w:r>
      <w:r w:rsidR="00591856">
        <w:rPr>
          <w:rFonts w:ascii="Arial" w:hAnsi="Arial" w:cs="Arial"/>
          <w:lang w:val="en-US"/>
        </w:rPr>
        <w:t xml:space="preserve">international </w:t>
      </w:r>
      <w:r w:rsidR="00463718">
        <w:rPr>
          <w:rFonts w:ascii="Arial" w:hAnsi="Arial" w:cs="Arial"/>
          <w:lang w:val="en-US"/>
        </w:rPr>
        <w:t xml:space="preserve">energy prices </w:t>
      </w:r>
      <w:r w:rsidR="00591856">
        <w:rPr>
          <w:rFonts w:ascii="Arial" w:hAnsi="Arial" w:cs="Arial"/>
          <w:lang w:val="en-US"/>
        </w:rPr>
        <w:t xml:space="preserve">during the year under review. </w:t>
      </w:r>
      <w:r w:rsidR="00E4131D">
        <w:rPr>
          <w:rFonts w:ascii="Arial" w:hAnsi="Arial" w:cs="Arial"/>
          <w:lang w:val="en-US"/>
        </w:rPr>
        <w:t xml:space="preserve"> </w:t>
      </w:r>
    </w:p>
    <w:bookmarkEnd w:id="16"/>
    <w:p w14:paraId="19EC7B3D" w14:textId="5A9447F0" w:rsidR="00D8011E" w:rsidRPr="00D8011E" w:rsidRDefault="00D8011E" w:rsidP="00BB4688">
      <w:pPr>
        <w:spacing w:after="120"/>
        <w:jc w:val="both"/>
        <w:rPr>
          <w:rFonts w:ascii="Arial" w:hAnsi="Arial" w:cs="Arial"/>
          <w:lang w:val="en-US"/>
        </w:rPr>
      </w:pPr>
      <w:r>
        <w:rPr>
          <w:rFonts w:ascii="Arial" w:hAnsi="Arial" w:cs="Arial"/>
          <w:lang w:val="en-US"/>
        </w:rPr>
        <w:t>As per IMF REO data, t</w:t>
      </w:r>
      <w:r w:rsidRPr="00D8011E">
        <w:rPr>
          <w:rFonts w:ascii="Arial" w:hAnsi="Arial" w:cs="Arial"/>
          <w:lang w:val="en-US"/>
        </w:rPr>
        <w:t xml:space="preserve">hirteen (13) COMESA member countries, namely </w:t>
      </w:r>
      <w:r>
        <w:rPr>
          <w:rFonts w:ascii="Arial" w:hAnsi="Arial" w:cs="Arial"/>
          <w:lang w:val="en-US"/>
        </w:rPr>
        <w:t xml:space="preserve">Comoros, Djibouti, </w:t>
      </w:r>
      <w:r w:rsidRPr="00D8011E">
        <w:rPr>
          <w:rFonts w:ascii="Arial" w:hAnsi="Arial" w:cs="Arial"/>
          <w:lang w:val="en-US"/>
        </w:rPr>
        <w:t xml:space="preserve">Egypt, </w:t>
      </w:r>
      <w:r>
        <w:rPr>
          <w:rFonts w:ascii="Arial" w:hAnsi="Arial" w:cs="Arial"/>
          <w:lang w:val="en-US"/>
        </w:rPr>
        <w:t xml:space="preserve">Eritrea, Eswatini, Libya, </w:t>
      </w:r>
      <w:r w:rsidRPr="00D8011E">
        <w:rPr>
          <w:rFonts w:ascii="Arial" w:hAnsi="Arial" w:cs="Arial"/>
          <w:lang w:val="en-US"/>
        </w:rPr>
        <w:t xml:space="preserve">Kenya, Madagascar, Mauritius, Rwanda, </w:t>
      </w:r>
      <w:r>
        <w:rPr>
          <w:rFonts w:ascii="Arial" w:hAnsi="Arial" w:cs="Arial"/>
          <w:lang w:val="en-US"/>
        </w:rPr>
        <w:t xml:space="preserve">Somalia, </w:t>
      </w:r>
      <w:r w:rsidRPr="00D8011E">
        <w:rPr>
          <w:rFonts w:ascii="Arial" w:hAnsi="Arial" w:cs="Arial"/>
          <w:lang w:val="en-US"/>
        </w:rPr>
        <w:t xml:space="preserve">Tunisia and Uganda achieved the COMESA macroeconomic Convergence Criteria of average annual inflation rate of 7% (with a band of +/-1%). </w:t>
      </w:r>
    </w:p>
    <w:p w14:paraId="1CF14E9C" w14:textId="4AE6B5D7" w:rsidR="00C76C27" w:rsidRPr="00E66874" w:rsidRDefault="00E66874" w:rsidP="00E66874">
      <w:pPr>
        <w:pStyle w:val="Caption"/>
        <w:spacing w:after="0"/>
        <w:rPr>
          <w:rFonts w:ascii="Arial" w:hAnsi="Arial" w:cs="Arial"/>
          <w:i w:val="0"/>
          <w:iCs w:val="0"/>
          <w:color w:val="auto"/>
          <w:sz w:val="22"/>
          <w:szCs w:val="22"/>
          <w:lang w:val="en-US"/>
        </w:rPr>
      </w:pPr>
      <w:r w:rsidRPr="00E66874">
        <w:rPr>
          <w:rFonts w:ascii="Arial" w:hAnsi="Arial" w:cs="Arial"/>
          <w:i w:val="0"/>
          <w:iCs w:val="0"/>
          <w:color w:val="auto"/>
          <w:sz w:val="22"/>
          <w:szCs w:val="22"/>
          <w:lang w:val="en-US"/>
        </w:rPr>
        <w:t xml:space="preserve">Figure </w:t>
      </w:r>
      <w:r w:rsidRPr="00E66874">
        <w:rPr>
          <w:rFonts w:ascii="Arial" w:hAnsi="Arial" w:cs="Arial"/>
          <w:i w:val="0"/>
          <w:iCs w:val="0"/>
          <w:color w:val="auto"/>
          <w:sz w:val="22"/>
          <w:szCs w:val="22"/>
          <w:lang w:val="en-US"/>
        </w:rPr>
        <w:fldChar w:fldCharType="begin"/>
      </w:r>
      <w:r w:rsidRPr="00E66874">
        <w:rPr>
          <w:rFonts w:ascii="Arial" w:hAnsi="Arial" w:cs="Arial"/>
          <w:i w:val="0"/>
          <w:iCs w:val="0"/>
          <w:color w:val="auto"/>
          <w:sz w:val="22"/>
          <w:szCs w:val="22"/>
          <w:lang w:val="en-US"/>
        </w:rPr>
        <w:instrText xml:space="preserve"> SEQ Figure \* ARABIC </w:instrText>
      </w:r>
      <w:r w:rsidRPr="00E66874">
        <w:rPr>
          <w:rFonts w:ascii="Arial" w:hAnsi="Arial" w:cs="Arial"/>
          <w:i w:val="0"/>
          <w:iCs w:val="0"/>
          <w:color w:val="auto"/>
          <w:sz w:val="22"/>
          <w:szCs w:val="22"/>
          <w:lang w:val="en-US"/>
        </w:rPr>
        <w:fldChar w:fldCharType="separate"/>
      </w:r>
      <w:r w:rsidR="00D32533">
        <w:rPr>
          <w:rFonts w:ascii="Arial" w:hAnsi="Arial" w:cs="Arial"/>
          <w:i w:val="0"/>
          <w:iCs w:val="0"/>
          <w:noProof/>
          <w:color w:val="auto"/>
          <w:sz w:val="22"/>
          <w:szCs w:val="22"/>
          <w:lang w:val="en-US"/>
        </w:rPr>
        <w:t>2</w:t>
      </w:r>
      <w:r w:rsidRPr="00E66874">
        <w:rPr>
          <w:rFonts w:ascii="Arial" w:hAnsi="Arial" w:cs="Arial"/>
          <w:i w:val="0"/>
          <w:iCs w:val="0"/>
          <w:color w:val="auto"/>
          <w:sz w:val="22"/>
          <w:szCs w:val="22"/>
          <w:lang w:val="en-US"/>
        </w:rPr>
        <w:fldChar w:fldCharType="end"/>
      </w:r>
      <w:r w:rsidRPr="00E66874">
        <w:rPr>
          <w:rFonts w:ascii="Arial" w:hAnsi="Arial" w:cs="Arial"/>
          <w:i w:val="0"/>
          <w:iCs w:val="0"/>
          <w:color w:val="auto"/>
          <w:sz w:val="22"/>
          <w:szCs w:val="22"/>
          <w:lang w:val="en-US"/>
        </w:rPr>
        <w:t>:</w:t>
      </w:r>
      <w:r>
        <w:rPr>
          <w:rFonts w:ascii="Arial" w:hAnsi="Arial" w:cs="Arial"/>
          <w:i w:val="0"/>
          <w:iCs w:val="0"/>
          <w:color w:val="auto"/>
          <w:sz w:val="22"/>
          <w:szCs w:val="22"/>
          <w:lang w:val="en-US"/>
        </w:rPr>
        <w:t xml:space="preserve"> </w:t>
      </w:r>
      <w:r w:rsidRPr="00E66874">
        <w:rPr>
          <w:rFonts w:ascii="Arial" w:hAnsi="Arial" w:cs="Arial"/>
          <w:i w:val="0"/>
          <w:iCs w:val="0"/>
          <w:color w:val="auto"/>
          <w:sz w:val="22"/>
          <w:szCs w:val="22"/>
          <w:lang w:val="en-US"/>
        </w:rPr>
        <w:t>COMESA average Consumer Prices (annual av., % Change)</w:t>
      </w:r>
    </w:p>
    <w:p w14:paraId="656597A3" w14:textId="6FEF1DB0" w:rsidR="00C76C27" w:rsidRDefault="002045B0" w:rsidP="00C76C27">
      <w:pPr>
        <w:spacing w:after="0" w:line="240" w:lineRule="auto"/>
        <w:rPr>
          <w:lang w:val="en-GB" w:eastAsia="en-US" w:bidi="ar-SA"/>
        </w:rPr>
      </w:pPr>
      <w:r>
        <w:rPr>
          <w:noProof/>
          <w:lang w:val="en-US" w:eastAsia="en-US" w:bidi="ar-SA"/>
        </w:rPr>
        <w:drawing>
          <wp:inline distT="0" distB="0" distL="0" distR="0" wp14:anchorId="4352DF53" wp14:editId="2B808EA0">
            <wp:extent cx="5018405" cy="2009553"/>
            <wp:effectExtent l="0" t="0" r="0" b="0"/>
            <wp:docPr id="13" name="Chart 13">
              <a:extLst xmlns:a="http://schemas.openxmlformats.org/drawingml/2006/main">
                <a:ext uri="{FF2B5EF4-FFF2-40B4-BE49-F238E27FC236}">
                  <a16:creationId xmlns:a16="http://schemas.microsoft.com/office/drawing/2014/main" id="{AB96F84C-6BDF-8253-7C1D-6C66C89869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0AF4B11" w14:textId="4CD5B8A6" w:rsidR="00C76C27" w:rsidRDefault="00C76C27" w:rsidP="00C76C27">
      <w:pPr>
        <w:pStyle w:val="BodyText2"/>
        <w:rPr>
          <w:rFonts w:eastAsia="Calibri" w:cs="Arial"/>
          <w:b w:val="0"/>
          <w:sz w:val="20"/>
          <w:szCs w:val="20"/>
          <w:lang w:val="en-GB" w:bidi="fr-FR"/>
        </w:rPr>
      </w:pPr>
      <w:r w:rsidRPr="004C6F8E">
        <w:rPr>
          <w:rFonts w:eastAsia="Calibri" w:cs="Arial"/>
          <w:b w:val="0"/>
          <w:sz w:val="20"/>
          <w:szCs w:val="20"/>
          <w:lang w:val="en-GB" w:bidi="fr-FR"/>
        </w:rPr>
        <w:t>Source: IMF RE</w:t>
      </w:r>
      <w:r>
        <w:rPr>
          <w:rFonts w:eastAsia="Calibri" w:cs="Arial"/>
          <w:b w:val="0"/>
          <w:sz w:val="20"/>
          <w:szCs w:val="20"/>
          <w:lang w:val="en-GB" w:bidi="fr-FR"/>
        </w:rPr>
        <w:t>O Sub Saharan Africa April 202</w:t>
      </w:r>
      <w:r w:rsidR="0075524A">
        <w:rPr>
          <w:rFonts w:eastAsia="Calibri" w:cs="Arial"/>
          <w:b w:val="0"/>
          <w:sz w:val="20"/>
          <w:szCs w:val="20"/>
          <w:lang w:val="en-GB" w:bidi="fr-FR"/>
        </w:rPr>
        <w:t>2</w:t>
      </w:r>
    </w:p>
    <w:p w14:paraId="7332C002" w14:textId="7CFCF0E7" w:rsidR="00C76C27" w:rsidRDefault="00C76C27" w:rsidP="00C76C27">
      <w:pPr>
        <w:pStyle w:val="BodyText2"/>
        <w:rPr>
          <w:rFonts w:eastAsia="Calibri" w:cs="Arial"/>
          <w:b w:val="0"/>
          <w:sz w:val="20"/>
          <w:szCs w:val="20"/>
          <w:lang w:val="en-GB" w:bidi="fr-FR"/>
        </w:rPr>
      </w:pPr>
    </w:p>
    <w:p w14:paraId="11046197" w14:textId="02B7941F" w:rsidR="008F7AA0" w:rsidRDefault="008F7AA0" w:rsidP="008F7AA0">
      <w:pPr>
        <w:spacing w:after="120"/>
        <w:jc w:val="both"/>
        <w:rPr>
          <w:rFonts w:ascii="Arial" w:hAnsi="Arial" w:cs="Arial"/>
          <w:lang w:val="en-US"/>
        </w:rPr>
      </w:pPr>
      <w:bookmarkStart w:id="17" w:name="_Hlk115875737"/>
      <w:r>
        <w:rPr>
          <w:rFonts w:ascii="Arial" w:hAnsi="Arial" w:cs="Arial"/>
          <w:lang w:val="en-US"/>
        </w:rPr>
        <w:t xml:space="preserve">Region wide inflation is </w:t>
      </w:r>
      <w:r w:rsidRPr="004F6134">
        <w:rPr>
          <w:rFonts w:ascii="Arial" w:hAnsi="Arial" w:cs="Arial"/>
          <w:lang w:val="en-US"/>
        </w:rPr>
        <w:t xml:space="preserve">projected to </w:t>
      </w:r>
      <w:r>
        <w:rPr>
          <w:rFonts w:ascii="Arial" w:hAnsi="Arial" w:cs="Arial"/>
          <w:lang w:val="en-US"/>
        </w:rPr>
        <w:t xml:space="preserve">rise to </w:t>
      </w:r>
      <w:r w:rsidRPr="004F6134">
        <w:rPr>
          <w:rFonts w:ascii="Arial" w:hAnsi="Arial" w:cs="Arial"/>
          <w:lang w:val="en-US"/>
        </w:rPr>
        <w:t>1</w:t>
      </w:r>
      <w:r>
        <w:rPr>
          <w:rFonts w:ascii="Arial" w:hAnsi="Arial" w:cs="Arial"/>
          <w:lang w:val="en-US"/>
        </w:rPr>
        <w:t>7</w:t>
      </w:r>
      <w:r w:rsidRPr="004F6134">
        <w:rPr>
          <w:rFonts w:ascii="Arial" w:hAnsi="Arial" w:cs="Arial"/>
          <w:lang w:val="en-US"/>
        </w:rPr>
        <w:t>.</w:t>
      </w:r>
      <w:r>
        <w:rPr>
          <w:rFonts w:ascii="Arial" w:hAnsi="Arial" w:cs="Arial"/>
          <w:lang w:val="en-US"/>
        </w:rPr>
        <w:t>0</w:t>
      </w:r>
      <w:r w:rsidRPr="004F6134">
        <w:rPr>
          <w:rFonts w:ascii="Arial" w:hAnsi="Arial" w:cs="Arial"/>
          <w:lang w:val="en-US"/>
        </w:rPr>
        <w:t>% in 202</w:t>
      </w:r>
      <w:r>
        <w:rPr>
          <w:rFonts w:ascii="Arial" w:hAnsi="Arial" w:cs="Arial"/>
          <w:lang w:val="en-US"/>
        </w:rPr>
        <w:t>2</w:t>
      </w:r>
      <w:r>
        <w:rPr>
          <w:rFonts w:ascii="Arial" w:hAnsi="Arial" w:cs="Arial"/>
          <w:lang w:val="en-US"/>
        </w:rPr>
        <w:t>,</w:t>
      </w:r>
      <w:r>
        <w:rPr>
          <w:rFonts w:ascii="Arial" w:hAnsi="Arial" w:cs="Arial"/>
          <w:lang w:val="en-US"/>
        </w:rPr>
        <w:t xml:space="preserve"> largely on escalation of the war in Ukraine and sanctions on Russia, and the </w:t>
      </w:r>
      <w:r w:rsidRPr="0034099E">
        <w:rPr>
          <w:rFonts w:ascii="Arial" w:hAnsi="Arial" w:cs="Arial"/>
          <w:lang w:val="en-US"/>
        </w:rPr>
        <w:t>tightening global monetary conditions</w:t>
      </w:r>
      <w:r>
        <w:rPr>
          <w:rFonts w:ascii="Arial" w:hAnsi="Arial" w:cs="Arial"/>
          <w:lang w:val="en-US"/>
        </w:rPr>
        <w:t>. The latter could lead to strong exchange rate pressure feeding through to domestic inflation while the former could push even higher oil prices</w:t>
      </w:r>
      <w:r w:rsidRPr="002C20DD">
        <w:rPr>
          <w:rFonts w:ascii="Arial" w:hAnsi="Arial" w:cs="Arial"/>
          <w:lang w:val="en-US"/>
        </w:rPr>
        <w:t>—</w:t>
      </w:r>
      <w:r>
        <w:rPr>
          <w:rFonts w:ascii="Arial" w:hAnsi="Arial" w:cs="Arial"/>
          <w:lang w:val="en-US"/>
        </w:rPr>
        <w:t xml:space="preserve">putting further upward pressure on food prices, accelerate further global supply shortages and export restrictions in major commodity and food exporters. Inflation is expected to </w:t>
      </w:r>
      <w:r w:rsidRPr="00A70750">
        <w:rPr>
          <w:rFonts w:ascii="Arial" w:hAnsi="Arial" w:cs="Arial"/>
          <w:lang w:val="en-US"/>
        </w:rPr>
        <w:t>ease somewhat to 13.9% in 2023</w:t>
      </w:r>
      <w:r>
        <w:rPr>
          <w:rFonts w:ascii="Arial" w:hAnsi="Arial" w:cs="Arial"/>
          <w:lang w:val="en-US"/>
        </w:rPr>
        <w:t xml:space="preserve"> on </w:t>
      </w:r>
      <w:r w:rsidRPr="00A70750">
        <w:rPr>
          <w:rFonts w:ascii="Arial" w:hAnsi="Arial" w:cs="Arial"/>
          <w:lang w:val="en-US"/>
        </w:rPr>
        <w:t xml:space="preserve">expected easing of global and local supply challenges, and the </w:t>
      </w:r>
      <w:r>
        <w:rPr>
          <w:rFonts w:ascii="Arial" w:hAnsi="Arial" w:cs="Arial"/>
          <w:lang w:val="en-US"/>
        </w:rPr>
        <w:t xml:space="preserve">likelihood that </w:t>
      </w:r>
      <w:r w:rsidRPr="00A70750">
        <w:rPr>
          <w:rFonts w:ascii="Arial" w:hAnsi="Arial" w:cs="Arial"/>
          <w:lang w:val="en-US"/>
        </w:rPr>
        <w:t xml:space="preserve">region’s central banks </w:t>
      </w:r>
      <w:r>
        <w:rPr>
          <w:rFonts w:ascii="Arial" w:hAnsi="Arial" w:cs="Arial"/>
          <w:lang w:val="en-US"/>
        </w:rPr>
        <w:t xml:space="preserve">would anchor of inflation expectations should </w:t>
      </w:r>
      <w:r w:rsidRPr="00A70750">
        <w:rPr>
          <w:rFonts w:ascii="Arial" w:hAnsi="Arial" w:cs="Arial"/>
          <w:lang w:val="en-US"/>
        </w:rPr>
        <w:t xml:space="preserve">inflationary pressures </w:t>
      </w:r>
      <w:r>
        <w:rPr>
          <w:rFonts w:ascii="Arial" w:hAnsi="Arial" w:cs="Arial"/>
          <w:lang w:val="en-US"/>
        </w:rPr>
        <w:t>stren</w:t>
      </w:r>
      <w:r w:rsidRPr="00A70750">
        <w:rPr>
          <w:rFonts w:ascii="Arial" w:hAnsi="Arial" w:cs="Arial"/>
          <w:lang w:val="en-US"/>
        </w:rPr>
        <w:t xml:space="preserve">gthen even more. </w:t>
      </w:r>
    </w:p>
    <w:bookmarkEnd w:id="17"/>
    <w:p w14:paraId="0EB2C894" w14:textId="77777777" w:rsidR="00C76C27" w:rsidRPr="00C76C27" w:rsidRDefault="00C76C27" w:rsidP="00BB4688">
      <w:pPr>
        <w:pStyle w:val="BodyText2"/>
        <w:spacing w:after="120" w:line="276" w:lineRule="auto"/>
        <w:rPr>
          <w:rFonts w:eastAsia="Calibri" w:cs="Arial"/>
          <w:b w:val="0"/>
          <w:sz w:val="20"/>
          <w:szCs w:val="20"/>
          <w:lang w:val="en-GB" w:bidi="fr-FR"/>
        </w:rPr>
      </w:pPr>
    </w:p>
    <w:p w14:paraId="08E22B04" w14:textId="7F93348F" w:rsidR="0030356E" w:rsidRPr="009B2E65" w:rsidRDefault="0030356E" w:rsidP="00BB4688">
      <w:pPr>
        <w:pStyle w:val="Heading1"/>
        <w:numPr>
          <w:ilvl w:val="0"/>
          <w:numId w:val="10"/>
        </w:numPr>
        <w:spacing w:before="0" w:after="120" w:line="276" w:lineRule="auto"/>
        <w:rPr>
          <w:rFonts w:ascii="Arial" w:hAnsi="Arial" w:cs="Arial"/>
          <w:sz w:val="22"/>
          <w:szCs w:val="22"/>
        </w:rPr>
      </w:pPr>
      <w:bookmarkStart w:id="18" w:name="_Toc70943217"/>
      <w:r w:rsidRPr="009B2E65">
        <w:rPr>
          <w:rFonts w:ascii="Arial" w:hAnsi="Arial" w:cs="Arial"/>
          <w:sz w:val="22"/>
          <w:szCs w:val="22"/>
        </w:rPr>
        <w:t xml:space="preserve">Monetary </w:t>
      </w:r>
      <w:r w:rsidR="00B12F9D">
        <w:rPr>
          <w:rFonts w:ascii="Arial" w:hAnsi="Arial" w:cs="Arial"/>
          <w:sz w:val="22"/>
          <w:szCs w:val="22"/>
        </w:rPr>
        <w:t>and M</w:t>
      </w:r>
      <w:r w:rsidR="00B12F9D" w:rsidRPr="00B12F9D">
        <w:rPr>
          <w:rFonts w:ascii="Arial" w:hAnsi="Arial" w:cs="Arial"/>
          <w:sz w:val="22"/>
          <w:szCs w:val="22"/>
        </w:rPr>
        <w:t>acro-financial Policy</w:t>
      </w:r>
      <w:r w:rsidRPr="009B2E65">
        <w:rPr>
          <w:rFonts w:ascii="Arial" w:hAnsi="Arial" w:cs="Arial"/>
          <w:sz w:val="22"/>
          <w:szCs w:val="22"/>
        </w:rPr>
        <w:t xml:space="preserve"> and Exchange Rate developments</w:t>
      </w:r>
      <w:bookmarkEnd w:id="18"/>
    </w:p>
    <w:p w14:paraId="63E372F9" w14:textId="46BE42A5" w:rsidR="00E53BC2" w:rsidRDefault="004C6F8E" w:rsidP="00BB4688">
      <w:pPr>
        <w:spacing w:after="120"/>
        <w:jc w:val="both"/>
        <w:rPr>
          <w:rFonts w:ascii="Arial" w:hAnsi="Arial" w:cs="Arial"/>
          <w:bCs/>
          <w:lang w:val="en-US"/>
        </w:rPr>
      </w:pPr>
      <w:r>
        <w:rPr>
          <w:rFonts w:ascii="Arial" w:hAnsi="Arial" w:cs="Arial"/>
          <w:bCs/>
          <w:lang w:val="en-US"/>
        </w:rPr>
        <w:t xml:space="preserve">During </w:t>
      </w:r>
      <w:r w:rsidR="00610D7A">
        <w:rPr>
          <w:rFonts w:ascii="Arial" w:hAnsi="Arial" w:cs="Arial"/>
          <w:bCs/>
          <w:lang w:val="en-US"/>
        </w:rPr>
        <w:t>2020</w:t>
      </w:r>
      <w:r w:rsidR="009B2E65">
        <w:rPr>
          <w:rFonts w:ascii="Arial" w:hAnsi="Arial" w:cs="Arial"/>
          <w:bCs/>
          <w:lang w:val="en-US"/>
        </w:rPr>
        <w:t xml:space="preserve">, a number of </w:t>
      </w:r>
      <w:r w:rsidR="009046B7" w:rsidRPr="009B2E65">
        <w:rPr>
          <w:rFonts w:ascii="Arial" w:hAnsi="Arial" w:cs="Arial"/>
          <w:bCs/>
          <w:lang w:val="en-US"/>
        </w:rPr>
        <w:t xml:space="preserve">central banks in the region </w:t>
      </w:r>
      <w:bookmarkStart w:id="19" w:name="_Hlk87519439"/>
      <w:r w:rsidR="009B2E65">
        <w:rPr>
          <w:rFonts w:ascii="Arial" w:hAnsi="Arial" w:cs="Arial"/>
          <w:bCs/>
          <w:lang w:val="en-US"/>
        </w:rPr>
        <w:t>remained largely supportive</w:t>
      </w:r>
      <w:r w:rsidR="009B2E65" w:rsidRPr="002C20DD">
        <w:rPr>
          <w:rFonts w:ascii="Arial" w:hAnsi="Arial" w:cs="Arial"/>
          <w:lang w:val="en-US"/>
        </w:rPr>
        <w:t>—</w:t>
      </w:r>
      <w:r w:rsidR="009B2E65" w:rsidRPr="009B2E65">
        <w:rPr>
          <w:rFonts w:ascii="Arial" w:hAnsi="Arial" w:cs="Arial"/>
          <w:bCs/>
          <w:lang w:val="en-US"/>
        </w:rPr>
        <w:t>including shift</w:t>
      </w:r>
      <w:r w:rsidR="002F301F">
        <w:rPr>
          <w:rFonts w:ascii="Arial" w:hAnsi="Arial" w:cs="Arial"/>
          <w:bCs/>
          <w:lang w:val="en-US"/>
        </w:rPr>
        <w:t>ing</w:t>
      </w:r>
      <w:r w:rsidR="009B2E65" w:rsidRPr="009B2E65">
        <w:rPr>
          <w:rFonts w:ascii="Arial" w:hAnsi="Arial" w:cs="Arial"/>
          <w:bCs/>
          <w:lang w:val="en-US"/>
        </w:rPr>
        <w:t xml:space="preserve"> priority to crisis management objective instead of strict price stability</w:t>
      </w:r>
      <w:bookmarkEnd w:id="19"/>
      <w:r w:rsidR="009B2E65" w:rsidRPr="009B2E65">
        <w:rPr>
          <w:rFonts w:ascii="Arial" w:hAnsi="Arial" w:cs="Arial"/>
          <w:bCs/>
          <w:lang w:val="en-US"/>
        </w:rPr>
        <w:t>.</w:t>
      </w:r>
      <w:r w:rsidR="009B2E65">
        <w:rPr>
          <w:rFonts w:ascii="Arial" w:hAnsi="Arial" w:cs="Arial"/>
          <w:bCs/>
          <w:lang w:val="en-US"/>
        </w:rPr>
        <w:t xml:space="preserve"> </w:t>
      </w:r>
      <w:bookmarkStart w:id="20" w:name="_Hlk87521119"/>
      <w:r w:rsidR="002F301F">
        <w:rPr>
          <w:rFonts w:ascii="Arial" w:hAnsi="Arial" w:cs="Arial"/>
          <w:bCs/>
          <w:lang w:val="en-US"/>
        </w:rPr>
        <w:t xml:space="preserve">Most central banks </w:t>
      </w:r>
      <w:r w:rsidR="009046B7" w:rsidRPr="009B2E65">
        <w:rPr>
          <w:rFonts w:ascii="Arial" w:hAnsi="Arial" w:cs="Arial"/>
          <w:bCs/>
          <w:lang w:val="en-US"/>
        </w:rPr>
        <w:t xml:space="preserve">pursued an </w:t>
      </w:r>
      <w:r w:rsidR="00F9584B" w:rsidRPr="009B2E65">
        <w:rPr>
          <w:rFonts w:ascii="Arial" w:hAnsi="Arial" w:cs="Arial"/>
          <w:bCs/>
          <w:lang w:val="en-US"/>
        </w:rPr>
        <w:t>accommodative</w:t>
      </w:r>
      <w:r w:rsidR="009046B7" w:rsidRPr="009B2E65">
        <w:rPr>
          <w:rFonts w:ascii="Arial" w:hAnsi="Arial" w:cs="Arial"/>
          <w:bCs/>
          <w:lang w:val="en-US"/>
        </w:rPr>
        <w:t xml:space="preserve"> monetary policy stance</w:t>
      </w:r>
      <w:r w:rsidR="002F301F">
        <w:rPr>
          <w:rFonts w:ascii="Arial" w:hAnsi="Arial" w:cs="Arial"/>
          <w:bCs/>
          <w:lang w:val="en-US"/>
        </w:rPr>
        <w:t xml:space="preserve"> and </w:t>
      </w:r>
      <w:r w:rsidR="002F301F" w:rsidRPr="009046B7">
        <w:rPr>
          <w:rFonts w:ascii="Arial" w:hAnsi="Arial" w:cs="Arial"/>
          <w:bCs/>
          <w:lang w:val="en-US"/>
        </w:rPr>
        <w:t>allow</w:t>
      </w:r>
      <w:r w:rsidR="002F301F">
        <w:rPr>
          <w:rFonts w:ascii="Arial" w:hAnsi="Arial" w:cs="Arial"/>
          <w:bCs/>
          <w:lang w:val="en-US"/>
        </w:rPr>
        <w:t xml:space="preserve">ed </w:t>
      </w:r>
      <w:r w:rsidR="002F301F" w:rsidRPr="009046B7">
        <w:rPr>
          <w:rFonts w:ascii="Arial" w:hAnsi="Arial" w:cs="Arial"/>
          <w:bCs/>
          <w:lang w:val="en-US"/>
        </w:rPr>
        <w:t xml:space="preserve">the exchange rate to depreciate </w:t>
      </w:r>
      <w:r w:rsidR="002F301F">
        <w:rPr>
          <w:rFonts w:ascii="Arial" w:hAnsi="Arial" w:cs="Arial"/>
          <w:bCs/>
          <w:lang w:val="en-US"/>
        </w:rPr>
        <w:t xml:space="preserve">while </w:t>
      </w:r>
      <w:r w:rsidR="002F301F" w:rsidRPr="009046B7">
        <w:rPr>
          <w:rFonts w:ascii="Arial" w:hAnsi="Arial" w:cs="Arial"/>
          <w:bCs/>
          <w:lang w:val="en-US"/>
        </w:rPr>
        <w:t>conducting foreign exchange interventions to smooth</w:t>
      </w:r>
      <w:r w:rsidR="002F301F">
        <w:rPr>
          <w:rFonts w:ascii="Arial" w:hAnsi="Arial" w:cs="Arial"/>
          <w:bCs/>
          <w:lang w:val="en-US"/>
        </w:rPr>
        <w:t xml:space="preserve"> disruptive volatility</w:t>
      </w:r>
      <w:bookmarkEnd w:id="20"/>
      <w:r w:rsidR="002F301F">
        <w:rPr>
          <w:rFonts w:ascii="Arial" w:hAnsi="Arial" w:cs="Arial"/>
          <w:bCs/>
          <w:lang w:val="en-US"/>
        </w:rPr>
        <w:t xml:space="preserve">. In addition, they </w:t>
      </w:r>
      <w:r w:rsidR="00D940CC">
        <w:rPr>
          <w:rFonts w:ascii="Arial" w:hAnsi="Arial" w:cs="Arial"/>
          <w:bCs/>
          <w:lang w:val="en-US"/>
        </w:rPr>
        <w:t xml:space="preserve">relaxed reserve </w:t>
      </w:r>
      <w:r w:rsidR="002F301F">
        <w:rPr>
          <w:rFonts w:ascii="Arial" w:hAnsi="Arial" w:cs="Arial"/>
          <w:bCs/>
          <w:lang w:val="en-US"/>
        </w:rPr>
        <w:t xml:space="preserve">and capital conservation buffers </w:t>
      </w:r>
      <w:r w:rsidR="00D940CC">
        <w:rPr>
          <w:rFonts w:ascii="Arial" w:hAnsi="Arial" w:cs="Arial"/>
          <w:bCs/>
          <w:lang w:val="en-US"/>
        </w:rPr>
        <w:t>requirements for banks in an effort to bo</w:t>
      </w:r>
      <w:r w:rsidR="008D1457">
        <w:rPr>
          <w:rFonts w:ascii="Arial" w:hAnsi="Arial" w:cs="Arial"/>
          <w:bCs/>
          <w:lang w:val="en-US"/>
        </w:rPr>
        <w:t>o</w:t>
      </w:r>
      <w:r w:rsidR="00D940CC">
        <w:rPr>
          <w:rFonts w:ascii="Arial" w:hAnsi="Arial" w:cs="Arial"/>
          <w:bCs/>
          <w:lang w:val="en-US"/>
        </w:rPr>
        <w:t xml:space="preserve">st their daily liquidity needs, </w:t>
      </w:r>
      <w:r w:rsidR="00F22DFB">
        <w:rPr>
          <w:rFonts w:ascii="Arial" w:hAnsi="Arial" w:cs="Arial"/>
          <w:bCs/>
          <w:lang w:val="en-US"/>
        </w:rPr>
        <w:t>allow</w:t>
      </w:r>
      <w:r w:rsidR="002F301F">
        <w:rPr>
          <w:rFonts w:ascii="Arial" w:hAnsi="Arial" w:cs="Arial"/>
          <w:bCs/>
          <w:lang w:val="en-US"/>
        </w:rPr>
        <w:t xml:space="preserve">ed </w:t>
      </w:r>
      <w:r w:rsidR="00F22DFB">
        <w:rPr>
          <w:rFonts w:ascii="Arial" w:hAnsi="Arial" w:cs="Arial"/>
          <w:bCs/>
          <w:lang w:val="en-US"/>
        </w:rPr>
        <w:t>commercial banks to restructure outstanding loans of borrowers facing temporary cash flow challenges</w:t>
      </w:r>
      <w:r w:rsidR="002F301F">
        <w:rPr>
          <w:rFonts w:ascii="Arial" w:hAnsi="Arial" w:cs="Arial"/>
          <w:bCs/>
          <w:lang w:val="en-US"/>
        </w:rPr>
        <w:t xml:space="preserve"> and i</w:t>
      </w:r>
      <w:r w:rsidR="0002606A">
        <w:rPr>
          <w:rFonts w:ascii="Arial" w:hAnsi="Arial" w:cs="Arial"/>
          <w:bCs/>
          <w:lang w:val="en-US"/>
        </w:rPr>
        <w:t xml:space="preserve">ncreased limits on agents and corporate wallets for digital transactions, </w:t>
      </w:r>
      <w:r w:rsidR="00D940CC">
        <w:rPr>
          <w:rFonts w:ascii="Arial" w:hAnsi="Arial" w:cs="Arial"/>
          <w:bCs/>
          <w:lang w:val="en-US"/>
        </w:rPr>
        <w:t>among other measures.</w:t>
      </w:r>
      <w:r w:rsidR="00610D7A">
        <w:rPr>
          <w:rFonts w:ascii="Arial" w:hAnsi="Arial" w:cs="Arial"/>
          <w:bCs/>
          <w:lang w:val="en-US"/>
        </w:rPr>
        <w:t xml:space="preserve"> </w:t>
      </w:r>
      <w:r w:rsidR="002F301F">
        <w:rPr>
          <w:rFonts w:ascii="Arial" w:hAnsi="Arial" w:cs="Arial"/>
          <w:bCs/>
          <w:lang w:val="en-US"/>
        </w:rPr>
        <w:t xml:space="preserve">However, </w:t>
      </w:r>
      <w:r w:rsidR="00332EDB">
        <w:rPr>
          <w:rFonts w:ascii="Arial" w:hAnsi="Arial" w:cs="Arial"/>
          <w:bCs/>
          <w:lang w:val="en-US"/>
        </w:rPr>
        <w:t xml:space="preserve">inflationary pressure </w:t>
      </w:r>
      <w:r w:rsidR="00B05196">
        <w:rPr>
          <w:rFonts w:ascii="Arial" w:hAnsi="Arial" w:cs="Arial"/>
          <w:bCs/>
          <w:lang w:val="en-US"/>
        </w:rPr>
        <w:t>has</w:t>
      </w:r>
      <w:r w:rsidR="003E7F90">
        <w:rPr>
          <w:rFonts w:ascii="Arial" w:hAnsi="Arial" w:cs="Arial"/>
          <w:bCs/>
          <w:lang w:val="en-US"/>
        </w:rPr>
        <w:t xml:space="preserve"> built </w:t>
      </w:r>
      <w:r w:rsidR="00332EDB">
        <w:rPr>
          <w:rFonts w:ascii="Arial" w:hAnsi="Arial" w:cs="Arial"/>
          <w:bCs/>
          <w:lang w:val="en-US"/>
        </w:rPr>
        <w:t xml:space="preserve">and </w:t>
      </w:r>
      <w:r w:rsidR="002F301F" w:rsidRPr="002F301F">
        <w:rPr>
          <w:rFonts w:ascii="Arial" w:hAnsi="Arial" w:cs="Arial"/>
          <w:bCs/>
          <w:lang w:val="en-US"/>
        </w:rPr>
        <w:t xml:space="preserve">in the </w:t>
      </w:r>
      <w:r w:rsidR="006B33E6">
        <w:rPr>
          <w:rFonts w:ascii="Arial" w:hAnsi="Arial" w:cs="Arial"/>
          <w:bCs/>
          <w:lang w:val="en-US"/>
        </w:rPr>
        <w:lastRenderedPageBreak/>
        <w:t xml:space="preserve">context of </w:t>
      </w:r>
      <w:r w:rsidR="00893793" w:rsidRPr="00893793">
        <w:rPr>
          <w:rFonts w:ascii="Arial" w:hAnsi="Arial" w:cs="Arial"/>
          <w:bCs/>
          <w:lang w:val="en-US"/>
        </w:rPr>
        <w:t xml:space="preserve">the war in Ukraine </w:t>
      </w:r>
      <w:r w:rsidR="00610D7A">
        <w:rPr>
          <w:rFonts w:ascii="Arial" w:hAnsi="Arial" w:cs="Arial"/>
          <w:bCs/>
          <w:lang w:val="en-US"/>
        </w:rPr>
        <w:t xml:space="preserve">and sanctions on Russia </w:t>
      </w:r>
      <w:bookmarkStart w:id="21" w:name="_Hlk115943343"/>
      <w:r w:rsidR="00893793">
        <w:rPr>
          <w:rFonts w:ascii="Arial" w:hAnsi="Arial" w:cs="Arial"/>
          <w:bCs/>
          <w:lang w:val="en-US"/>
        </w:rPr>
        <w:t xml:space="preserve">which </w:t>
      </w:r>
      <w:r w:rsidR="00893793" w:rsidRPr="00893793">
        <w:rPr>
          <w:rFonts w:ascii="Arial" w:hAnsi="Arial" w:cs="Arial"/>
          <w:bCs/>
          <w:lang w:val="en-US"/>
        </w:rPr>
        <w:t>has quickly reverberated through global financial and commodity markets</w:t>
      </w:r>
      <w:bookmarkEnd w:id="21"/>
      <w:r w:rsidR="00893793">
        <w:rPr>
          <w:rFonts w:ascii="Arial" w:hAnsi="Arial" w:cs="Arial"/>
          <w:bCs/>
          <w:lang w:val="en-US"/>
        </w:rPr>
        <w:t xml:space="preserve">, </w:t>
      </w:r>
      <w:r w:rsidR="00B05196">
        <w:rPr>
          <w:rFonts w:ascii="Arial" w:hAnsi="Arial" w:cs="Arial"/>
          <w:bCs/>
          <w:lang w:val="en-US"/>
        </w:rPr>
        <w:t xml:space="preserve">the </w:t>
      </w:r>
      <w:r w:rsidR="00B05196" w:rsidRPr="00BC2B8F">
        <w:rPr>
          <w:rFonts w:ascii="Arial" w:hAnsi="Arial" w:cs="Arial"/>
          <w:bCs/>
          <w:lang w:val="en-US"/>
        </w:rPr>
        <w:t>risks to the inflation outlook</w:t>
      </w:r>
      <w:r w:rsidR="00B05196">
        <w:rPr>
          <w:rFonts w:ascii="Arial" w:hAnsi="Arial" w:cs="Arial"/>
          <w:bCs/>
          <w:lang w:val="en-US"/>
        </w:rPr>
        <w:t xml:space="preserve"> remain </w:t>
      </w:r>
      <w:r w:rsidR="0085158A">
        <w:rPr>
          <w:rFonts w:ascii="Arial" w:hAnsi="Arial" w:cs="Arial"/>
          <w:bCs/>
          <w:lang w:val="en-US"/>
        </w:rPr>
        <w:t xml:space="preserve">heightened. </w:t>
      </w:r>
      <w:r w:rsidR="00B05196">
        <w:rPr>
          <w:rFonts w:ascii="Arial" w:hAnsi="Arial" w:cs="Arial"/>
          <w:bCs/>
          <w:lang w:val="en-US"/>
        </w:rPr>
        <w:t>O</w:t>
      </w:r>
      <w:r w:rsidR="003E7F90">
        <w:rPr>
          <w:rFonts w:ascii="Arial" w:hAnsi="Arial" w:cs="Arial"/>
          <w:bCs/>
          <w:lang w:val="en-US"/>
        </w:rPr>
        <w:t>utput levels</w:t>
      </w:r>
      <w:r w:rsidR="00B05196">
        <w:rPr>
          <w:rFonts w:ascii="Arial" w:hAnsi="Arial" w:cs="Arial"/>
          <w:bCs/>
          <w:lang w:val="en-US"/>
        </w:rPr>
        <w:t>, at the same time</w:t>
      </w:r>
      <w:r w:rsidR="00D450CC">
        <w:rPr>
          <w:rFonts w:ascii="Arial" w:hAnsi="Arial" w:cs="Arial"/>
          <w:bCs/>
          <w:lang w:val="en-US"/>
        </w:rPr>
        <w:t xml:space="preserve">, </w:t>
      </w:r>
      <w:r w:rsidR="003E7F90">
        <w:rPr>
          <w:rFonts w:ascii="Arial" w:hAnsi="Arial" w:cs="Arial"/>
          <w:bCs/>
          <w:lang w:val="en-US"/>
        </w:rPr>
        <w:t>remain well below the pre-pandemic level</w:t>
      </w:r>
      <w:r w:rsidR="00B05196">
        <w:rPr>
          <w:rFonts w:ascii="Arial" w:hAnsi="Arial" w:cs="Arial"/>
          <w:bCs/>
          <w:lang w:val="en-US"/>
        </w:rPr>
        <w:t xml:space="preserve">. Regional Central Banks, thus, face </w:t>
      </w:r>
      <w:r w:rsidR="00B05196" w:rsidRPr="00B05196">
        <w:rPr>
          <w:rFonts w:ascii="Arial" w:hAnsi="Arial" w:cs="Arial"/>
          <w:lang w:val="en-US"/>
        </w:rPr>
        <w:t xml:space="preserve">a difficult balancing act between curbing inflation and supporting </w:t>
      </w:r>
      <w:r w:rsidR="00B05196">
        <w:rPr>
          <w:rFonts w:ascii="Arial" w:hAnsi="Arial" w:cs="Arial"/>
          <w:lang w:val="en-US"/>
        </w:rPr>
        <w:t>recovery. H</w:t>
      </w:r>
      <w:r w:rsidR="002F301F" w:rsidRPr="002F301F">
        <w:rPr>
          <w:rFonts w:ascii="Arial" w:hAnsi="Arial" w:cs="Arial"/>
          <w:bCs/>
          <w:lang w:val="en-US"/>
        </w:rPr>
        <w:t xml:space="preserve">aving loosened policy through 2020, </w:t>
      </w:r>
      <w:r w:rsidR="00B05196">
        <w:rPr>
          <w:rFonts w:ascii="Arial" w:hAnsi="Arial" w:cs="Arial"/>
          <w:bCs/>
          <w:lang w:val="en-US"/>
        </w:rPr>
        <w:t>C</w:t>
      </w:r>
      <w:r w:rsidR="007431D1">
        <w:rPr>
          <w:rFonts w:ascii="Arial" w:hAnsi="Arial" w:cs="Arial"/>
          <w:bCs/>
          <w:lang w:val="en-US"/>
        </w:rPr>
        <w:t xml:space="preserve">entral </w:t>
      </w:r>
      <w:r w:rsidR="00B05196">
        <w:rPr>
          <w:rFonts w:ascii="Arial" w:hAnsi="Arial" w:cs="Arial"/>
          <w:bCs/>
          <w:lang w:val="en-US"/>
        </w:rPr>
        <w:t>B</w:t>
      </w:r>
      <w:r w:rsidR="007431D1">
        <w:rPr>
          <w:rFonts w:ascii="Arial" w:hAnsi="Arial" w:cs="Arial"/>
          <w:bCs/>
          <w:lang w:val="en-US"/>
        </w:rPr>
        <w:t>anks</w:t>
      </w:r>
      <w:r w:rsidR="00B05196">
        <w:rPr>
          <w:rFonts w:ascii="Arial" w:hAnsi="Arial" w:cs="Arial"/>
          <w:bCs/>
          <w:lang w:val="en-US"/>
        </w:rPr>
        <w:t xml:space="preserve"> need to tighten monetary policy </w:t>
      </w:r>
      <w:r w:rsidR="00C15FAE">
        <w:rPr>
          <w:rFonts w:ascii="Arial" w:hAnsi="Arial" w:cs="Arial"/>
          <w:bCs/>
          <w:lang w:val="en-US"/>
        </w:rPr>
        <w:t xml:space="preserve">should inflation expectations drift up and also tighten </w:t>
      </w:r>
      <w:r w:rsidR="00C15FAE" w:rsidRPr="00AA698B">
        <w:rPr>
          <w:rFonts w:ascii="Arial" w:hAnsi="Arial" w:cs="Arial"/>
          <w:bCs/>
          <w:lang w:val="en-US"/>
        </w:rPr>
        <w:t>financial regulations that may have been relaxed during the pandemic</w:t>
      </w:r>
      <w:r w:rsidR="00C15FAE">
        <w:rPr>
          <w:rFonts w:ascii="Arial" w:hAnsi="Arial" w:cs="Arial"/>
          <w:bCs/>
          <w:lang w:val="en-US"/>
        </w:rPr>
        <w:t xml:space="preserve"> to guard against financial stability risks. </w:t>
      </w:r>
    </w:p>
    <w:p w14:paraId="0C4B04D2" w14:textId="66393CAA" w:rsidR="00255653" w:rsidRDefault="00391358" w:rsidP="00BB4688">
      <w:pPr>
        <w:spacing w:after="120"/>
        <w:jc w:val="both"/>
        <w:rPr>
          <w:rFonts w:ascii="Arial" w:hAnsi="Arial" w:cs="Arial"/>
          <w:bCs/>
          <w:lang w:val="en-US"/>
        </w:rPr>
      </w:pPr>
      <w:bookmarkStart w:id="22" w:name="_Hlk87521220"/>
      <w:r>
        <w:rPr>
          <w:rFonts w:ascii="Arial" w:hAnsi="Arial" w:cs="Arial"/>
          <w:bCs/>
          <w:lang w:val="en-US"/>
        </w:rPr>
        <w:t xml:space="preserve">Surging </w:t>
      </w:r>
      <w:r w:rsidR="004A4B2C" w:rsidRPr="004A4B2C">
        <w:rPr>
          <w:rFonts w:ascii="Arial" w:hAnsi="Arial" w:cs="Arial"/>
          <w:bCs/>
          <w:lang w:val="en-US"/>
        </w:rPr>
        <w:t xml:space="preserve">global oil and food prices and </w:t>
      </w:r>
      <w:r>
        <w:rPr>
          <w:rFonts w:ascii="Arial" w:hAnsi="Arial" w:cs="Arial"/>
          <w:bCs/>
          <w:lang w:val="en-US"/>
        </w:rPr>
        <w:t xml:space="preserve">tightening </w:t>
      </w:r>
      <w:r w:rsidR="004A4B2C" w:rsidRPr="004A4B2C">
        <w:rPr>
          <w:rFonts w:ascii="Arial" w:hAnsi="Arial" w:cs="Arial"/>
          <w:bCs/>
          <w:lang w:val="en-US"/>
        </w:rPr>
        <w:t xml:space="preserve">global financial </w:t>
      </w:r>
      <w:r>
        <w:rPr>
          <w:rFonts w:ascii="Arial" w:hAnsi="Arial" w:cs="Arial"/>
          <w:bCs/>
          <w:lang w:val="en-US"/>
        </w:rPr>
        <w:t xml:space="preserve">conditions </w:t>
      </w:r>
      <w:r w:rsidR="00AF6041" w:rsidRPr="004A4B2C">
        <w:rPr>
          <w:rFonts w:ascii="Arial" w:hAnsi="Arial" w:cs="Arial"/>
          <w:bCs/>
          <w:lang w:val="en-US"/>
        </w:rPr>
        <w:t>associated with the war in Ukraine</w:t>
      </w:r>
      <w:r w:rsidR="004A4B2C">
        <w:rPr>
          <w:rFonts w:ascii="Arial" w:hAnsi="Arial" w:cs="Arial"/>
          <w:bCs/>
          <w:lang w:val="en-US"/>
        </w:rPr>
        <w:t xml:space="preserve"> and sanctions on Russia </w:t>
      </w:r>
      <w:r w:rsidR="00BA6FDF" w:rsidRPr="00BA6FDF">
        <w:rPr>
          <w:rFonts w:ascii="Arial" w:hAnsi="Arial" w:cs="Arial"/>
          <w:bCs/>
          <w:lang w:val="en-US"/>
        </w:rPr>
        <w:t xml:space="preserve">compounded by </w:t>
      </w:r>
      <w:bookmarkStart w:id="23" w:name="_Hlk114060120"/>
      <w:r w:rsidR="00BA6FDF" w:rsidRPr="00BA6FDF">
        <w:rPr>
          <w:rFonts w:ascii="Arial" w:hAnsi="Arial" w:cs="Arial"/>
          <w:bCs/>
          <w:lang w:val="en-US"/>
        </w:rPr>
        <w:t xml:space="preserve">heightened market volatility </w:t>
      </w:r>
      <w:bookmarkEnd w:id="23"/>
      <w:r w:rsidR="00AF6041" w:rsidRPr="004A4B2C">
        <w:rPr>
          <w:rFonts w:ascii="Arial" w:hAnsi="Arial" w:cs="Arial"/>
          <w:bCs/>
          <w:lang w:val="en-US"/>
        </w:rPr>
        <w:t xml:space="preserve">have placed </w:t>
      </w:r>
      <w:r w:rsidRPr="00D86652">
        <w:rPr>
          <w:rFonts w:ascii="Arial" w:hAnsi="Arial" w:cs="Arial"/>
          <w:bCs/>
          <w:lang w:val="en-US"/>
        </w:rPr>
        <w:t>severe fiscal and exchange rate pressure across many countries in the region</w:t>
      </w:r>
      <w:r w:rsidR="00AF6041" w:rsidRPr="004A4B2C">
        <w:rPr>
          <w:rFonts w:ascii="Arial" w:hAnsi="Arial" w:cs="Arial"/>
          <w:bCs/>
          <w:lang w:val="en-US"/>
        </w:rPr>
        <w:t xml:space="preserve">. </w:t>
      </w:r>
      <w:bookmarkEnd w:id="22"/>
      <w:r w:rsidR="00BF2FEB" w:rsidRPr="00D86652">
        <w:rPr>
          <w:rFonts w:ascii="Arial" w:hAnsi="Arial" w:cs="Arial"/>
          <w:bCs/>
          <w:lang w:val="en-US"/>
        </w:rPr>
        <w:t>The tight</w:t>
      </w:r>
      <w:r w:rsidR="00D86652">
        <w:rPr>
          <w:rFonts w:ascii="Arial" w:hAnsi="Arial" w:cs="Arial"/>
          <w:bCs/>
          <w:lang w:val="en-US"/>
        </w:rPr>
        <w:t xml:space="preserve"> </w:t>
      </w:r>
      <w:r w:rsidR="00BF2FEB" w:rsidRPr="00D86652">
        <w:rPr>
          <w:rFonts w:ascii="Arial" w:hAnsi="Arial" w:cs="Arial"/>
          <w:bCs/>
          <w:lang w:val="en-US"/>
        </w:rPr>
        <w:t xml:space="preserve">global financial conditions </w:t>
      </w:r>
      <w:r w:rsidR="00DC0B21">
        <w:rPr>
          <w:rFonts w:ascii="Arial" w:hAnsi="Arial" w:cs="Arial"/>
          <w:bCs/>
          <w:lang w:val="en-US"/>
        </w:rPr>
        <w:t>could disrupt capital flows to the region at a time they are need most</w:t>
      </w:r>
      <w:r w:rsidR="00D86652">
        <w:rPr>
          <w:rFonts w:ascii="Arial" w:hAnsi="Arial" w:cs="Arial"/>
          <w:bCs/>
          <w:lang w:val="en-US"/>
        </w:rPr>
        <w:t xml:space="preserve">, </w:t>
      </w:r>
      <w:bookmarkStart w:id="24" w:name="_Hlk87521443"/>
      <w:r w:rsidR="00D86652">
        <w:rPr>
          <w:rFonts w:ascii="Arial" w:hAnsi="Arial" w:cs="Arial"/>
          <w:bCs/>
          <w:lang w:val="en-US"/>
        </w:rPr>
        <w:t xml:space="preserve">putting </w:t>
      </w:r>
      <w:r w:rsidR="00D86652" w:rsidRPr="00D86652">
        <w:rPr>
          <w:rFonts w:ascii="Arial" w:hAnsi="Arial" w:cs="Arial"/>
          <w:bCs/>
          <w:lang w:val="en-US"/>
        </w:rPr>
        <w:t>a</w:t>
      </w:r>
      <w:r w:rsidR="00D86652">
        <w:rPr>
          <w:rFonts w:ascii="Arial" w:hAnsi="Arial" w:cs="Arial"/>
          <w:bCs/>
          <w:lang w:val="en-US"/>
        </w:rPr>
        <w:t xml:space="preserve"> </w:t>
      </w:r>
      <w:r w:rsidR="00BF2FEB" w:rsidRPr="00D86652">
        <w:rPr>
          <w:rFonts w:ascii="Arial" w:hAnsi="Arial" w:cs="Arial"/>
          <w:bCs/>
          <w:lang w:val="en-US"/>
        </w:rPr>
        <w:t>strain on the required resources to deal with the pandemic and support economic recovery</w:t>
      </w:r>
      <w:bookmarkEnd w:id="24"/>
      <w:r w:rsidR="00BF2FEB" w:rsidRPr="00D86652">
        <w:rPr>
          <w:rFonts w:ascii="Arial" w:hAnsi="Arial" w:cs="Arial"/>
          <w:bCs/>
          <w:lang w:val="en-US"/>
        </w:rPr>
        <w:t>.</w:t>
      </w:r>
      <w:r w:rsidR="00D86652">
        <w:rPr>
          <w:rFonts w:ascii="Arial" w:hAnsi="Arial" w:cs="Arial"/>
          <w:bCs/>
          <w:lang w:val="en-US"/>
        </w:rPr>
        <w:t xml:space="preserve"> </w:t>
      </w:r>
      <w:r w:rsidR="00255653">
        <w:rPr>
          <w:rFonts w:ascii="Arial" w:hAnsi="Arial" w:cs="Arial"/>
          <w:bCs/>
          <w:lang w:val="en-US"/>
        </w:rPr>
        <w:t xml:space="preserve">Going forward, </w:t>
      </w:r>
      <w:r w:rsidR="00D22CBC">
        <w:rPr>
          <w:rFonts w:ascii="Arial" w:hAnsi="Arial" w:cs="Arial"/>
          <w:bCs/>
          <w:lang w:val="en-US"/>
        </w:rPr>
        <w:t xml:space="preserve">should the war escalate and </w:t>
      </w:r>
      <w:r w:rsidR="003E38AE">
        <w:rPr>
          <w:rFonts w:ascii="Arial" w:hAnsi="Arial" w:cs="Arial"/>
          <w:bCs/>
          <w:lang w:val="en-US"/>
        </w:rPr>
        <w:t xml:space="preserve">tight </w:t>
      </w:r>
      <w:r w:rsidR="003E38AE" w:rsidRPr="003E38AE">
        <w:rPr>
          <w:rFonts w:ascii="Arial" w:hAnsi="Arial" w:cs="Arial"/>
          <w:bCs/>
          <w:lang w:val="en-US"/>
        </w:rPr>
        <w:t xml:space="preserve">global </w:t>
      </w:r>
      <w:r w:rsidR="003E38AE">
        <w:rPr>
          <w:rFonts w:ascii="Arial" w:hAnsi="Arial" w:cs="Arial"/>
          <w:bCs/>
          <w:lang w:val="en-US"/>
        </w:rPr>
        <w:t xml:space="preserve">financial </w:t>
      </w:r>
      <w:r w:rsidR="003E38AE" w:rsidRPr="003E38AE">
        <w:rPr>
          <w:rFonts w:ascii="Arial" w:hAnsi="Arial" w:cs="Arial"/>
          <w:bCs/>
          <w:lang w:val="en-US"/>
        </w:rPr>
        <w:t xml:space="preserve">conditions </w:t>
      </w:r>
      <w:r w:rsidR="00D22CBC">
        <w:rPr>
          <w:rFonts w:ascii="Arial" w:hAnsi="Arial" w:cs="Arial"/>
          <w:bCs/>
          <w:lang w:val="en-US"/>
        </w:rPr>
        <w:t xml:space="preserve">persist, </w:t>
      </w:r>
      <w:r w:rsidR="003E38AE" w:rsidRPr="003E38AE">
        <w:rPr>
          <w:rFonts w:ascii="Arial" w:hAnsi="Arial" w:cs="Arial"/>
          <w:bCs/>
          <w:lang w:val="en-US"/>
        </w:rPr>
        <w:t xml:space="preserve">governments might have to </w:t>
      </w:r>
      <w:r w:rsidR="00D22CBC">
        <w:rPr>
          <w:rFonts w:ascii="Arial" w:hAnsi="Arial" w:cs="Arial"/>
          <w:bCs/>
          <w:lang w:val="en-US"/>
        </w:rPr>
        <w:t xml:space="preserve">either cut </w:t>
      </w:r>
      <w:r w:rsidR="00D22CBC" w:rsidRPr="00D86652">
        <w:rPr>
          <w:rFonts w:ascii="Arial" w:hAnsi="Arial" w:cs="Arial"/>
          <w:bCs/>
          <w:lang w:val="en-US"/>
        </w:rPr>
        <w:t xml:space="preserve">spending, or </w:t>
      </w:r>
      <w:r w:rsidR="00D22CBC">
        <w:rPr>
          <w:rFonts w:ascii="Arial" w:hAnsi="Arial" w:cs="Arial"/>
          <w:bCs/>
          <w:lang w:val="en-US"/>
        </w:rPr>
        <w:t xml:space="preserve">have a </w:t>
      </w:r>
      <w:r w:rsidR="00D22CBC" w:rsidRPr="00D86652">
        <w:rPr>
          <w:rFonts w:ascii="Arial" w:hAnsi="Arial" w:cs="Arial"/>
          <w:bCs/>
          <w:lang w:val="en-US"/>
        </w:rPr>
        <w:t xml:space="preserve">buildup </w:t>
      </w:r>
      <w:r w:rsidR="00D22CBC">
        <w:rPr>
          <w:rFonts w:ascii="Arial" w:hAnsi="Arial" w:cs="Arial"/>
          <w:bCs/>
          <w:lang w:val="en-US"/>
        </w:rPr>
        <w:t xml:space="preserve">in </w:t>
      </w:r>
      <w:r w:rsidR="00D22CBC" w:rsidRPr="00D86652">
        <w:rPr>
          <w:rFonts w:ascii="Arial" w:hAnsi="Arial" w:cs="Arial"/>
          <w:bCs/>
          <w:lang w:val="en-US"/>
        </w:rPr>
        <w:t xml:space="preserve">arrears, or </w:t>
      </w:r>
      <w:r w:rsidR="00D22CBC">
        <w:rPr>
          <w:rFonts w:ascii="Arial" w:hAnsi="Arial" w:cs="Arial"/>
          <w:bCs/>
          <w:lang w:val="en-US"/>
        </w:rPr>
        <w:t xml:space="preserve">allow </w:t>
      </w:r>
      <w:r w:rsidR="00D22CBC" w:rsidRPr="00D86652">
        <w:rPr>
          <w:rFonts w:ascii="Arial" w:hAnsi="Arial" w:cs="Arial"/>
          <w:bCs/>
          <w:lang w:val="en-US"/>
        </w:rPr>
        <w:t xml:space="preserve">an increase in </w:t>
      </w:r>
      <w:r w:rsidR="00D22CBC">
        <w:rPr>
          <w:rFonts w:ascii="Arial" w:hAnsi="Arial" w:cs="Arial"/>
          <w:bCs/>
          <w:lang w:val="en-US"/>
        </w:rPr>
        <w:t xml:space="preserve">domestic </w:t>
      </w:r>
      <w:r w:rsidR="00D22CBC" w:rsidRPr="00D86652">
        <w:rPr>
          <w:rFonts w:ascii="Arial" w:hAnsi="Arial" w:cs="Arial"/>
          <w:bCs/>
          <w:lang w:val="en-US"/>
        </w:rPr>
        <w:t>borrowing w</w:t>
      </w:r>
      <w:r w:rsidR="00D22CBC">
        <w:rPr>
          <w:rFonts w:ascii="Arial" w:hAnsi="Arial" w:cs="Arial"/>
          <w:bCs/>
          <w:lang w:val="en-US"/>
        </w:rPr>
        <w:t xml:space="preserve">hile balancing the </w:t>
      </w:r>
      <w:r w:rsidR="00D22CBC" w:rsidRPr="00D86652">
        <w:rPr>
          <w:rFonts w:ascii="Arial" w:hAnsi="Arial" w:cs="Arial"/>
          <w:bCs/>
          <w:lang w:val="en-US"/>
        </w:rPr>
        <w:t xml:space="preserve">consequences </w:t>
      </w:r>
      <w:r w:rsidR="00D22CBC">
        <w:rPr>
          <w:rFonts w:ascii="Arial" w:hAnsi="Arial" w:cs="Arial"/>
          <w:bCs/>
          <w:lang w:val="en-US"/>
        </w:rPr>
        <w:t xml:space="preserve">this might have </w:t>
      </w:r>
      <w:r w:rsidR="00D22CBC" w:rsidRPr="00D86652">
        <w:rPr>
          <w:rFonts w:ascii="Arial" w:hAnsi="Arial" w:cs="Arial"/>
          <w:bCs/>
          <w:lang w:val="en-US"/>
        </w:rPr>
        <w:t>on domestic credit and economic recovery</w:t>
      </w:r>
      <w:r w:rsidR="00255653" w:rsidRPr="003E38AE">
        <w:rPr>
          <w:rFonts w:ascii="Arial" w:hAnsi="Arial" w:cs="Arial"/>
          <w:bCs/>
          <w:lang w:val="en-US"/>
        </w:rPr>
        <w:t xml:space="preserve">, </w:t>
      </w:r>
      <w:r w:rsidR="003E38AE" w:rsidRPr="003E38AE">
        <w:rPr>
          <w:rFonts w:ascii="Arial" w:hAnsi="Arial" w:cs="Arial"/>
          <w:bCs/>
          <w:lang w:val="en-US"/>
        </w:rPr>
        <w:t xml:space="preserve">but </w:t>
      </w:r>
      <w:r w:rsidR="003E38AE">
        <w:rPr>
          <w:rFonts w:ascii="Arial" w:hAnsi="Arial" w:cs="Arial"/>
          <w:bCs/>
          <w:lang w:val="en-US"/>
        </w:rPr>
        <w:t xml:space="preserve">this should be </w:t>
      </w:r>
      <w:r w:rsidR="003E38AE" w:rsidRPr="003E38AE">
        <w:rPr>
          <w:rFonts w:ascii="Arial" w:hAnsi="Arial" w:cs="Arial"/>
          <w:bCs/>
          <w:lang w:val="en-US"/>
        </w:rPr>
        <w:t xml:space="preserve">on </w:t>
      </w:r>
      <w:r w:rsidR="00255653" w:rsidRPr="003E38AE">
        <w:rPr>
          <w:rFonts w:ascii="Arial" w:hAnsi="Arial" w:cs="Arial"/>
          <w:bCs/>
          <w:lang w:val="en-US"/>
        </w:rPr>
        <w:t>market terms</w:t>
      </w:r>
      <w:r w:rsidR="003E38AE" w:rsidRPr="003E38AE">
        <w:rPr>
          <w:rFonts w:ascii="Arial" w:hAnsi="Arial" w:cs="Arial"/>
          <w:bCs/>
          <w:lang w:val="en-US"/>
        </w:rPr>
        <w:t xml:space="preserve">. </w:t>
      </w:r>
    </w:p>
    <w:p w14:paraId="373AF07F" w14:textId="10D9F4ED" w:rsidR="00391358" w:rsidRDefault="00861114" w:rsidP="00BB4688">
      <w:pPr>
        <w:spacing w:after="120"/>
        <w:jc w:val="both"/>
        <w:rPr>
          <w:rFonts w:ascii="Arial" w:hAnsi="Arial" w:cs="Arial"/>
          <w:bCs/>
          <w:lang w:val="en-US"/>
        </w:rPr>
      </w:pPr>
      <w:r w:rsidRPr="00D86652">
        <w:rPr>
          <w:rFonts w:ascii="Arial" w:hAnsi="Arial" w:cs="Arial"/>
          <w:bCs/>
          <w:lang w:val="en-US"/>
        </w:rPr>
        <w:t xml:space="preserve">Although fiscal policy </w:t>
      </w:r>
      <w:r w:rsidR="00302867" w:rsidRPr="00D86652">
        <w:rPr>
          <w:rFonts w:ascii="Arial" w:hAnsi="Arial" w:cs="Arial"/>
          <w:bCs/>
          <w:lang w:val="en-US"/>
        </w:rPr>
        <w:t>is</w:t>
      </w:r>
      <w:r w:rsidRPr="00D86652">
        <w:rPr>
          <w:rFonts w:ascii="Arial" w:hAnsi="Arial" w:cs="Arial"/>
          <w:bCs/>
          <w:lang w:val="en-US"/>
        </w:rPr>
        <w:t xml:space="preserve"> key in addressing the current challenges posed </w:t>
      </w:r>
      <w:r w:rsidR="00D450CC">
        <w:rPr>
          <w:rFonts w:ascii="Arial" w:hAnsi="Arial" w:cs="Arial"/>
          <w:bCs/>
          <w:lang w:val="en-US"/>
        </w:rPr>
        <w:t xml:space="preserve">by the </w:t>
      </w:r>
      <w:r w:rsidR="00D450CC">
        <w:rPr>
          <w:rFonts w:ascii="Arial" w:hAnsi="Arial" w:cs="Arial"/>
          <w:lang w:val="en-US"/>
        </w:rPr>
        <w:t>global economic shock triggered by the Russia-Ukraine war</w:t>
      </w:r>
      <w:r w:rsidR="00D450CC" w:rsidRPr="00D86652">
        <w:rPr>
          <w:rFonts w:ascii="Arial" w:hAnsi="Arial" w:cs="Arial"/>
          <w:bCs/>
          <w:lang w:val="en-US"/>
        </w:rPr>
        <w:t xml:space="preserve"> </w:t>
      </w:r>
      <w:r w:rsidR="00D450CC">
        <w:rPr>
          <w:rFonts w:ascii="Arial" w:hAnsi="Arial" w:cs="Arial"/>
          <w:bCs/>
          <w:lang w:val="en-US"/>
        </w:rPr>
        <w:t xml:space="preserve">and the </w:t>
      </w:r>
      <w:r w:rsidRPr="00D86652">
        <w:rPr>
          <w:rFonts w:ascii="Arial" w:hAnsi="Arial" w:cs="Arial"/>
          <w:bCs/>
          <w:lang w:val="en-US"/>
        </w:rPr>
        <w:t>pandemic</w:t>
      </w:r>
      <w:r w:rsidR="00D450CC">
        <w:rPr>
          <w:rFonts w:ascii="Arial" w:hAnsi="Arial" w:cs="Arial"/>
          <w:bCs/>
          <w:lang w:val="en-US"/>
        </w:rPr>
        <w:t>s</w:t>
      </w:r>
      <w:r w:rsidRPr="00D86652">
        <w:rPr>
          <w:rFonts w:ascii="Arial" w:hAnsi="Arial" w:cs="Arial"/>
          <w:bCs/>
          <w:lang w:val="en-US"/>
        </w:rPr>
        <w:t>, monetary and exchange rate polic</w:t>
      </w:r>
      <w:r w:rsidR="007B1F7D">
        <w:rPr>
          <w:rFonts w:ascii="Arial" w:hAnsi="Arial" w:cs="Arial"/>
          <w:bCs/>
          <w:lang w:val="en-US"/>
        </w:rPr>
        <w:t>ies</w:t>
      </w:r>
      <w:r w:rsidRPr="00D86652">
        <w:rPr>
          <w:rFonts w:ascii="Arial" w:hAnsi="Arial" w:cs="Arial"/>
          <w:bCs/>
          <w:lang w:val="en-US"/>
        </w:rPr>
        <w:t xml:space="preserve"> can also play an important role in dampening the economic shock. </w:t>
      </w:r>
      <w:r w:rsidR="0085158A">
        <w:rPr>
          <w:rFonts w:ascii="Arial" w:hAnsi="Arial" w:cs="Arial"/>
          <w:bCs/>
          <w:lang w:val="en-US"/>
        </w:rPr>
        <w:t>I</w:t>
      </w:r>
      <w:r w:rsidR="00D450CC">
        <w:rPr>
          <w:rFonts w:ascii="Arial" w:hAnsi="Arial" w:cs="Arial"/>
          <w:bCs/>
          <w:lang w:val="en-US"/>
        </w:rPr>
        <w:t xml:space="preserve">n jurisdictions </w:t>
      </w:r>
      <w:r w:rsidR="00807A7A" w:rsidRPr="00D86652">
        <w:rPr>
          <w:rFonts w:ascii="Arial" w:hAnsi="Arial" w:cs="Arial"/>
          <w:bCs/>
          <w:lang w:val="en-US"/>
        </w:rPr>
        <w:t>where inflation is not an immediate concern</w:t>
      </w:r>
      <w:r w:rsidR="00D450CC">
        <w:rPr>
          <w:rFonts w:ascii="Arial" w:hAnsi="Arial" w:cs="Arial"/>
          <w:bCs/>
          <w:lang w:val="en-US"/>
        </w:rPr>
        <w:t xml:space="preserve">, </w:t>
      </w:r>
      <w:r w:rsidR="00D450CC" w:rsidRPr="00D86652">
        <w:rPr>
          <w:rFonts w:ascii="Arial" w:hAnsi="Arial" w:cs="Arial"/>
          <w:bCs/>
          <w:lang w:val="en-US"/>
        </w:rPr>
        <w:t>central banks should consider</w:t>
      </w:r>
      <w:r w:rsidR="00D450CC" w:rsidRPr="002F301F">
        <w:rPr>
          <w:rFonts w:ascii="Arial" w:hAnsi="Arial" w:cs="Arial"/>
          <w:bCs/>
          <w:lang w:val="en-US"/>
        </w:rPr>
        <w:t xml:space="preserve"> </w:t>
      </w:r>
      <w:r w:rsidR="00752929">
        <w:rPr>
          <w:rFonts w:ascii="Arial" w:hAnsi="Arial" w:cs="Arial"/>
          <w:bCs/>
          <w:lang w:val="en-US"/>
        </w:rPr>
        <w:t xml:space="preserve">holding back on tightening monetary policy </w:t>
      </w:r>
      <w:r w:rsidR="00807A7A" w:rsidRPr="00D86652">
        <w:rPr>
          <w:rFonts w:ascii="Arial" w:hAnsi="Arial" w:cs="Arial"/>
          <w:bCs/>
          <w:lang w:val="en-US"/>
        </w:rPr>
        <w:t xml:space="preserve">in order to provide the economy with the necessary impetus </w:t>
      </w:r>
      <w:r w:rsidR="00807A7A">
        <w:rPr>
          <w:rFonts w:ascii="Arial" w:hAnsi="Arial" w:cs="Arial"/>
          <w:bCs/>
          <w:lang w:val="en-US"/>
        </w:rPr>
        <w:t xml:space="preserve">for recovery. </w:t>
      </w:r>
      <w:r w:rsidR="0085158A">
        <w:rPr>
          <w:rFonts w:ascii="Arial" w:hAnsi="Arial" w:cs="Arial"/>
          <w:bCs/>
          <w:lang w:val="en-US"/>
        </w:rPr>
        <w:t xml:space="preserve">Where inflationary pressures have picked, the 2020 </w:t>
      </w:r>
      <w:r w:rsidR="0085158A" w:rsidRPr="002F301F">
        <w:rPr>
          <w:rFonts w:ascii="Arial" w:hAnsi="Arial" w:cs="Arial"/>
          <w:bCs/>
          <w:lang w:val="en-US"/>
        </w:rPr>
        <w:t>rate cuts</w:t>
      </w:r>
      <w:r w:rsidR="0085158A">
        <w:rPr>
          <w:rFonts w:ascii="Arial" w:hAnsi="Arial" w:cs="Arial"/>
          <w:bCs/>
          <w:lang w:val="en-US"/>
        </w:rPr>
        <w:t xml:space="preserve"> should be reversed to anchor inflationary expectations</w:t>
      </w:r>
      <w:r w:rsidR="00DC6463">
        <w:rPr>
          <w:rFonts w:ascii="Arial" w:hAnsi="Arial" w:cs="Arial"/>
          <w:bCs/>
          <w:lang w:val="en-US"/>
        </w:rPr>
        <w:t xml:space="preserve">. </w:t>
      </w:r>
      <w:r w:rsidR="007B1F7D">
        <w:rPr>
          <w:rFonts w:ascii="Arial" w:hAnsi="Arial" w:cs="Arial"/>
          <w:bCs/>
          <w:lang w:val="en-US"/>
        </w:rPr>
        <w:t xml:space="preserve">For </w:t>
      </w:r>
      <w:r w:rsidR="00AA4168" w:rsidRPr="00D86652">
        <w:rPr>
          <w:rFonts w:ascii="Arial" w:hAnsi="Arial" w:cs="Arial"/>
          <w:bCs/>
          <w:lang w:val="en-US"/>
        </w:rPr>
        <w:t xml:space="preserve">countries in the region under flexible exchange rate regimes and enjoying low inflation and absence of large currency mismatches, </w:t>
      </w:r>
      <w:r w:rsidR="00302867" w:rsidRPr="00D86652">
        <w:rPr>
          <w:rFonts w:ascii="Arial" w:hAnsi="Arial" w:cs="Arial"/>
          <w:bCs/>
          <w:lang w:val="en-US"/>
        </w:rPr>
        <w:t xml:space="preserve">the </w:t>
      </w:r>
      <w:r w:rsidR="00AA4168" w:rsidRPr="00D86652">
        <w:rPr>
          <w:rFonts w:ascii="Arial" w:hAnsi="Arial" w:cs="Arial"/>
          <w:bCs/>
          <w:lang w:val="en-US"/>
        </w:rPr>
        <w:t xml:space="preserve">exchange rate </w:t>
      </w:r>
      <w:r w:rsidR="00302867" w:rsidRPr="00D86652">
        <w:rPr>
          <w:rFonts w:ascii="Arial" w:hAnsi="Arial" w:cs="Arial"/>
          <w:bCs/>
          <w:lang w:val="en-US"/>
        </w:rPr>
        <w:t xml:space="preserve">could </w:t>
      </w:r>
      <w:r w:rsidR="00AA4168" w:rsidRPr="00D86652">
        <w:rPr>
          <w:rFonts w:ascii="Arial" w:hAnsi="Arial" w:cs="Arial"/>
          <w:bCs/>
          <w:lang w:val="en-US"/>
        </w:rPr>
        <w:t xml:space="preserve">be </w:t>
      </w:r>
      <w:r w:rsidR="00302867" w:rsidRPr="00D86652">
        <w:rPr>
          <w:rFonts w:ascii="Arial" w:hAnsi="Arial" w:cs="Arial"/>
          <w:bCs/>
          <w:lang w:val="en-US"/>
        </w:rPr>
        <w:t xml:space="preserve">allowed to be the </w:t>
      </w:r>
      <w:r w:rsidR="00AA4168" w:rsidRPr="00D86652">
        <w:rPr>
          <w:rFonts w:ascii="Arial" w:hAnsi="Arial" w:cs="Arial"/>
          <w:bCs/>
          <w:lang w:val="en-US"/>
        </w:rPr>
        <w:t>key shock absorber</w:t>
      </w:r>
      <w:r w:rsidRPr="00D86652">
        <w:rPr>
          <w:rFonts w:ascii="Arial" w:hAnsi="Arial" w:cs="Arial"/>
          <w:bCs/>
          <w:lang w:val="en-US"/>
        </w:rPr>
        <w:t>.</w:t>
      </w:r>
      <w:r w:rsidR="00AA4168" w:rsidRPr="00D86652">
        <w:rPr>
          <w:rFonts w:ascii="Arial" w:hAnsi="Arial" w:cs="Arial"/>
          <w:bCs/>
          <w:lang w:val="en-US"/>
        </w:rPr>
        <w:t xml:space="preserve"> Foreign exchange interventions to </w:t>
      </w:r>
      <w:r w:rsidRPr="00D86652">
        <w:rPr>
          <w:rFonts w:ascii="Arial" w:hAnsi="Arial" w:cs="Arial"/>
          <w:bCs/>
          <w:lang w:val="en-US"/>
        </w:rPr>
        <w:t>smooth exchange rate volatility will be desirable for countries with shallow foreign exchange markets and large un</w:t>
      </w:r>
      <w:r w:rsidR="00D940CC" w:rsidRPr="00D86652">
        <w:rPr>
          <w:rFonts w:ascii="Arial" w:hAnsi="Arial" w:cs="Arial"/>
          <w:bCs/>
          <w:lang w:val="en-US"/>
        </w:rPr>
        <w:t>-</w:t>
      </w:r>
      <w:r w:rsidRPr="00D86652">
        <w:rPr>
          <w:rFonts w:ascii="Arial" w:hAnsi="Arial" w:cs="Arial"/>
          <w:bCs/>
          <w:lang w:val="en-US"/>
        </w:rPr>
        <w:t>hedged balance sheet exposures.</w:t>
      </w:r>
      <w:r w:rsidR="00807A7A">
        <w:rPr>
          <w:rFonts w:ascii="Arial" w:hAnsi="Arial" w:cs="Arial"/>
          <w:bCs/>
          <w:lang w:val="en-US"/>
        </w:rPr>
        <w:t xml:space="preserve"> </w:t>
      </w:r>
      <w:r w:rsidR="00391358" w:rsidRPr="00807A7A">
        <w:rPr>
          <w:rFonts w:ascii="Arial" w:hAnsi="Arial" w:cs="Arial"/>
          <w:bCs/>
          <w:lang w:val="en-US"/>
        </w:rPr>
        <w:t xml:space="preserve">Therefore, monetary tightening may be needed in some countries to support exchange rates, </w:t>
      </w:r>
      <w:bookmarkStart w:id="25" w:name="_Hlk114060976"/>
      <w:r w:rsidR="00391358" w:rsidRPr="00807A7A">
        <w:rPr>
          <w:rFonts w:ascii="Arial" w:hAnsi="Arial" w:cs="Arial"/>
          <w:bCs/>
          <w:lang w:val="en-US"/>
        </w:rPr>
        <w:t>even in the face of weak economic activity</w:t>
      </w:r>
      <w:bookmarkEnd w:id="25"/>
      <w:r w:rsidR="00391358" w:rsidRPr="00807A7A">
        <w:rPr>
          <w:rFonts w:ascii="Arial" w:hAnsi="Arial" w:cs="Arial"/>
          <w:bCs/>
          <w:lang w:val="en-US"/>
        </w:rPr>
        <w:t>.</w:t>
      </w:r>
    </w:p>
    <w:p w14:paraId="1495D223" w14:textId="77777777" w:rsidR="00D32533" w:rsidRDefault="00D32533" w:rsidP="00BB4688">
      <w:pPr>
        <w:spacing w:after="120"/>
        <w:jc w:val="both"/>
        <w:rPr>
          <w:rFonts w:ascii="Arial" w:hAnsi="Arial" w:cs="Arial"/>
          <w:bCs/>
          <w:lang w:val="en-US"/>
        </w:rPr>
      </w:pPr>
    </w:p>
    <w:p w14:paraId="677856BD" w14:textId="77777777" w:rsidR="002C63B7" w:rsidRPr="00324D6F" w:rsidRDefault="002C63B7" w:rsidP="00BB4688">
      <w:pPr>
        <w:pStyle w:val="Heading1"/>
        <w:numPr>
          <w:ilvl w:val="0"/>
          <w:numId w:val="10"/>
        </w:numPr>
        <w:spacing w:before="0" w:after="120" w:line="276" w:lineRule="auto"/>
        <w:rPr>
          <w:rFonts w:ascii="Arial" w:hAnsi="Arial" w:cs="Arial"/>
          <w:sz w:val="22"/>
          <w:szCs w:val="22"/>
        </w:rPr>
      </w:pPr>
      <w:bookmarkStart w:id="26" w:name="_Toc505769857"/>
      <w:bookmarkStart w:id="27" w:name="_Toc70943218"/>
      <w:r w:rsidRPr="00324D6F">
        <w:rPr>
          <w:rFonts w:ascii="Arial" w:hAnsi="Arial" w:cs="Arial"/>
          <w:sz w:val="22"/>
          <w:szCs w:val="22"/>
        </w:rPr>
        <w:t>Overall Fiscal Balance Including Grants</w:t>
      </w:r>
      <w:bookmarkEnd w:id="26"/>
      <w:bookmarkEnd w:id="27"/>
    </w:p>
    <w:p w14:paraId="45643203" w14:textId="6F709B8A" w:rsidR="003F7511" w:rsidRDefault="002C63B7" w:rsidP="00BB4688">
      <w:pPr>
        <w:spacing w:after="120"/>
        <w:jc w:val="both"/>
        <w:rPr>
          <w:rFonts w:ascii="Arial" w:hAnsi="Arial" w:cs="Arial"/>
          <w:lang w:val="en-US"/>
        </w:rPr>
      </w:pPr>
      <w:r w:rsidRPr="002D3CE1">
        <w:rPr>
          <w:rFonts w:ascii="Arial" w:hAnsi="Arial" w:cs="Arial"/>
          <w:lang w:val="en-US"/>
        </w:rPr>
        <w:t xml:space="preserve">The region’s average fiscal deficit including grants as a percentage of GDP </w:t>
      </w:r>
      <w:r w:rsidR="00DC6463">
        <w:rPr>
          <w:rFonts w:ascii="Arial" w:hAnsi="Arial" w:cs="Arial"/>
          <w:lang w:val="en-US"/>
        </w:rPr>
        <w:t xml:space="preserve">narrowed </w:t>
      </w:r>
      <w:r w:rsidRPr="002D3CE1">
        <w:rPr>
          <w:rFonts w:ascii="Arial" w:hAnsi="Arial" w:cs="Arial"/>
          <w:lang w:val="en-US"/>
        </w:rPr>
        <w:t>to -</w:t>
      </w:r>
      <w:r>
        <w:rPr>
          <w:rFonts w:ascii="Arial" w:hAnsi="Arial" w:cs="Arial"/>
          <w:lang w:val="en-US"/>
        </w:rPr>
        <w:t>5</w:t>
      </w:r>
      <w:r w:rsidRPr="002D3CE1">
        <w:rPr>
          <w:rFonts w:ascii="Arial" w:hAnsi="Arial" w:cs="Arial"/>
          <w:lang w:val="en-US"/>
        </w:rPr>
        <w:t>.</w:t>
      </w:r>
      <w:r w:rsidR="00C4413A">
        <w:rPr>
          <w:rFonts w:ascii="Arial" w:hAnsi="Arial" w:cs="Arial"/>
          <w:lang w:val="en-US"/>
        </w:rPr>
        <w:t>1</w:t>
      </w:r>
      <w:r w:rsidRPr="002D3CE1">
        <w:rPr>
          <w:rFonts w:ascii="Arial" w:hAnsi="Arial" w:cs="Arial"/>
          <w:lang w:val="en-US"/>
        </w:rPr>
        <w:t>% in 20</w:t>
      </w:r>
      <w:r>
        <w:rPr>
          <w:rFonts w:ascii="Arial" w:hAnsi="Arial" w:cs="Arial"/>
          <w:lang w:val="en-US"/>
        </w:rPr>
        <w:t>2</w:t>
      </w:r>
      <w:r w:rsidR="00C4413A">
        <w:rPr>
          <w:rFonts w:ascii="Arial" w:hAnsi="Arial" w:cs="Arial"/>
          <w:lang w:val="en-US"/>
        </w:rPr>
        <w:t>1</w:t>
      </w:r>
      <w:r>
        <w:rPr>
          <w:rFonts w:ascii="Arial" w:hAnsi="Arial" w:cs="Arial"/>
          <w:lang w:val="en-US"/>
        </w:rPr>
        <w:t>, from -</w:t>
      </w:r>
      <w:r w:rsidR="00C4413A">
        <w:rPr>
          <w:rFonts w:ascii="Arial" w:hAnsi="Arial" w:cs="Arial"/>
          <w:lang w:val="en-US"/>
        </w:rPr>
        <w:t>5.5</w:t>
      </w:r>
      <w:r>
        <w:rPr>
          <w:rFonts w:ascii="Arial" w:hAnsi="Arial" w:cs="Arial"/>
          <w:lang w:val="en-US"/>
        </w:rPr>
        <w:t>% in 20</w:t>
      </w:r>
      <w:r w:rsidR="00C4413A">
        <w:rPr>
          <w:rFonts w:ascii="Arial" w:hAnsi="Arial" w:cs="Arial"/>
          <w:lang w:val="en-US"/>
        </w:rPr>
        <w:t>20</w:t>
      </w:r>
      <w:r w:rsidR="000230B4">
        <w:rPr>
          <w:rFonts w:ascii="Arial" w:hAnsi="Arial" w:cs="Arial"/>
          <w:lang w:val="en-US"/>
        </w:rPr>
        <w:t xml:space="preserve"> </w:t>
      </w:r>
      <w:r w:rsidRPr="002D3CE1">
        <w:rPr>
          <w:rFonts w:ascii="Arial" w:hAnsi="Arial" w:cs="Arial"/>
          <w:lang w:val="en-US"/>
        </w:rPr>
        <w:t>(</w:t>
      </w:r>
      <w:r w:rsidR="008F7AA0">
        <w:rPr>
          <w:rFonts w:ascii="Arial" w:hAnsi="Arial" w:cs="Arial"/>
          <w:b/>
          <w:lang w:val="en-US"/>
        </w:rPr>
        <w:t>Figure</w:t>
      </w:r>
      <w:r w:rsidRPr="00FC40E3">
        <w:rPr>
          <w:rFonts w:ascii="Arial" w:hAnsi="Arial" w:cs="Arial"/>
          <w:b/>
          <w:lang w:val="en-US"/>
        </w:rPr>
        <w:t xml:space="preserve"> </w:t>
      </w:r>
      <w:r w:rsidR="00C4413A">
        <w:rPr>
          <w:rFonts w:ascii="Arial" w:hAnsi="Arial" w:cs="Arial"/>
          <w:b/>
          <w:lang w:val="en-US"/>
        </w:rPr>
        <w:t>3</w:t>
      </w:r>
      <w:r w:rsidRPr="002D3CE1">
        <w:rPr>
          <w:rFonts w:ascii="Arial" w:hAnsi="Arial" w:cs="Arial"/>
          <w:lang w:val="en-US"/>
        </w:rPr>
        <w:t>)</w:t>
      </w:r>
      <w:r w:rsidR="00E07002">
        <w:rPr>
          <w:rFonts w:ascii="Arial" w:hAnsi="Arial" w:cs="Arial"/>
          <w:lang w:val="en-US"/>
        </w:rPr>
        <w:t>, mainly on account of economic recovery</w:t>
      </w:r>
      <w:r w:rsidR="00E07002" w:rsidRPr="002C20DD">
        <w:rPr>
          <w:rFonts w:ascii="Arial" w:hAnsi="Arial" w:cs="Arial"/>
          <w:lang w:val="en-US"/>
        </w:rPr>
        <w:t>—</w:t>
      </w:r>
      <w:r w:rsidR="00E07002">
        <w:rPr>
          <w:rFonts w:ascii="Arial" w:hAnsi="Arial" w:cs="Arial"/>
          <w:lang w:val="en-US"/>
        </w:rPr>
        <w:t xml:space="preserve">higher revenues, resumption of fiscal consolidation in some countries and expiration of pandemic related measures as </w:t>
      </w:r>
      <w:r w:rsidR="00E07002" w:rsidRPr="0036000E">
        <w:rPr>
          <w:rFonts w:ascii="Arial" w:hAnsi="Arial" w:cs="Arial"/>
          <w:lang w:val="en-US"/>
        </w:rPr>
        <w:t xml:space="preserve">countries </w:t>
      </w:r>
      <w:r w:rsidR="00E07002">
        <w:rPr>
          <w:rFonts w:ascii="Arial" w:hAnsi="Arial" w:cs="Arial"/>
          <w:lang w:val="en-US"/>
        </w:rPr>
        <w:t>enhance</w:t>
      </w:r>
      <w:r w:rsidR="00435347">
        <w:rPr>
          <w:rFonts w:ascii="Arial" w:hAnsi="Arial" w:cs="Arial"/>
          <w:lang w:val="en-US"/>
        </w:rPr>
        <w:t>d</w:t>
      </w:r>
      <w:r w:rsidR="00E07002">
        <w:rPr>
          <w:rFonts w:ascii="Arial" w:hAnsi="Arial" w:cs="Arial"/>
          <w:lang w:val="en-US"/>
        </w:rPr>
        <w:t xml:space="preserve"> the </w:t>
      </w:r>
      <w:r w:rsidR="00E07002" w:rsidRPr="0036000E">
        <w:rPr>
          <w:rFonts w:ascii="Arial" w:hAnsi="Arial" w:cs="Arial"/>
          <w:lang w:val="en-US"/>
        </w:rPr>
        <w:t xml:space="preserve">roll out </w:t>
      </w:r>
      <w:r w:rsidR="00E07002">
        <w:rPr>
          <w:rFonts w:ascii="Arial" w:hAnsi="Arial" w:cs="Arial"/>
          <w:lang w:val="en-US"/>
        </w:rPr>
        <w:t xml:space="preserve">and uptake of </w:t>
      </w:r>
      <w:r w:rsidR="00E07002" w:rsidRPr="0036000E">
        <w:rPr>
          <w:rFonts w:ascii="Arial" w:hAnsi="Arial" w:cs="Arial"/>
          <w:lang w:val="en-US"/>
        </w:rPr>
        <w:t>the COVID-19 vaccine</w:t>
      </w:r>
      <w:r w:rsidR="00E07002">
        <w:rPr>
          <w:rFonts w:ascii="Arial" w:hAnsi="Arial" w:cs="Arial"/>
          <w:lang w:val="en-US"/>
        </w:rPr>
        <w:t>.</w:t>
      </w:r>
    </w:p>
    <w:p w14:paraId="5DFA4E5A" w14:textId="77777777" w:rsidR="00E93D6B" w:rsidRDefault="00E93D6B" w:rsidP="00E93D6B">
      <w:pPr>
        <w:pStyle w:val="BodyText"/>
        <w:jc w:val="both"/>
        <w:rPr>
          <w:rFonts w:ascii="Arial" w:hAnsi="Arial" w:cs="Arial"/>
          <w:lang w:val="en-US"/>
        </w:rPr>
      </w:pPr>
      <w:r>
        <w:rPr>
          <w:rFonts w:ascii="Arial" w:hAnsi="Arial" w:cs="Arial"/>
          <w:lang w:val="en-US"/>
        </w:rPr>
        <w:t>The deficit narrowed in 11 COMESA countries</w:t>
      </w:r>
      <w:r w:rsidRPr="002C20DD">
        <w:rPr>
          <w:rFonts w:ascii="Arial" w:hAnsi="Arial" w:cs="Arial"/>
          <w:lang w:val="en-US"/>
        </w:rPr>
        <w:t>—</w:t>
      </w:r>
      <w:r>
        <w:rPr>
          <w:rFonts w:ascii="Arial" w:hAnsi="Arial" w:cs="Arial"/>
          <w:lang w:val="en-US"/>
        </w:rPr>
        <w:t>Burundi, DRC, Eritrea, Ethiopia, Libya, Mauritius, Rwanda,</w:t>
      </w:r>
      <w:r w:rsidRPr="00292898">
        <w:rPr>
          <w:rFonts w:ascii="Agency FB" w:eastAsia="Times New Roman" w:hAnsi="Agency FB" w:cs="Arial"/>
          <w:sz w:val="20"/>
          <w:szCs w:val="20"/>
          <w:lang w:val="en-US" w:eastAsia="en-US" w:bidi="ar-SA"/>
        </w:rPr>
        <w:t xml:space="preserve"> </w:t>
      </w:r>
      <w:r w:rsidRPr="00292898">
        <w:rPr>
          <w:rFonts w:ascii="Arial" w:hAnsi="Arial" w:cs="Arial"/>
          <w:lang w:val="en-US"/>
        </w:rPr>
        <w:t>Seychelles</w:t>
      </w:r>
      <w:r>
        <w:rPr>
          <w:rFonts w:ascii="Arial" w:hAnsi="Arial" w:cs="Arial"/>
          <w:lang w:val="en-US"/>
        </w:rPr>
        <w:t>, Sudan, Tunisia and Zambia; remained at the 2020 levels in Kenya and deteriorated somewhat elsewhere. Moreover, as per IMF REO data, 10 COMESA countries</w:t>
      </w:r>
      <w:r w:rsidRPr="0061145A">
        <w:rPr>
          <w:rFonts w:ascii="Arial" w:hAnsi="Arial" w:cs="Arial"/>
          <w:lang w:val="en-US"/>
        </w:rPr>
        <w:t>, namely</w:t>
      </w:r>
      <w:r>
        <w:rPr>
          <w:rFonts w:ascii="Arial" w:hAnsi="Arial" w:cs="Arial"/>
          <w:lang w:val="en-US"/>
        </w:rPr>
        <w:t xml:space="preserve">, Burundi, DRC, Comoros, Djibouti, Eritrea, Ethiopia, Libya, Somalia, Sudan and Zimbabwe </w:t>
      </w:r>
      <w:r w:rsidRPr="0061145A">
        <w:rPr>
          <w:rFonts w:ascii="Arial" w:hAnsi="Arial" w:cs="Arial"/>
          <w:lang w:val="en-US"/>
        </w:rPr>
        <w:t xml:space="preserve">achieved the COMESA macroeconomic Convergence Criteria of overall budget deficit/GDP ratio (including grants) of 5%. </w:t>
      </w:r>
    </w:p>
    <w:p w14:paraId="26BE70F9" w14:textId="77777777" w:rsidR="00E93D6B" w:rsidRDefault="00E93D6B" w:rsidP="00E93D6B">
      <w:pPr>
        <w:pStyle w:val="BodyText"/>
        <w:jc w:val="both"/>
        <w:rPr>
          <w:rFonts w:ascii="Arial" w:hAnsi="Arial" w:cs="Arial"/>
          <w:lang w:val="en-US"/>
        </w:rPr>
      </w:pPr>
    </w:p>
    <w:p w14:paraId="72B2C51E" w14:textId="77777777" w:rsidR="008F7AA0" w:rsidRDefault="008F7AA0" w:rsidP="00E93D6B">
      <w:pPr>
        <w:pStyle w:val="BodyText"/>
        <w:jc w:val="both"/>
        <w:rPr>
          <w:rFonts w:ascii="Arial" w:hAnsi="Arial" w:cs="Arial"/>
          <w:lang w:val="en-US"/>
        </w:rPr>
      </w:pPr>
    </w:p>
    <w:p w14:paraId="09DD979E" w14:textId="77777777" w:rsidR="008F7AA0" w:rsidRDefault="008F7AA0" w:rsidP="00E93D6B">
      <w:pPr>
        <w:pStyle w:val="BodyText"/>
        <w:jc w:val="both"/>
        <w:rPr>
          <w:rFonts w:ascii="Arial" w:hAnsi="Arial" w:cs="Arial"/>
          <w:lang w:val="en-US"/>
        </w:rPr>
      </w:pPr>
    </w:p>
    <w:p w14:paraId="5FAB6012" w14:textId="77777777" w:rsidR="008F7AA0" w:rsidRDefault="008F7AA0" w:rsidP="00E93D6B">
      <w:pPr>
        <w:pStyle w:val="BodyText"/>
        <w:jc w:val="both"/>
        <w:rPr>
          <w:rFonts w:ascii="Arial" w:hAnsi="Arial" w:cs="Arial"/>
          <w:lang w:val="en-US"/>
        </w:rPr>
      </w:pPr>
    </w:p>
    <w:p w14:paraId="7300CE9B" w14:textId="4AF7868A" w:rsidR="00E93D6B" w:rsidRPr="001A7612" w:rsidRDefault="00E93D6B" w:rsidP="00E93D6B">
      <w:pPr>
        <w:pStyle w:val="Caption"/>
        <w:spacing w:after="0"/>
        <w:rPr>
          <w:rFonts w:ascii="Arial" w:hAnsi="Arial" w:cs="Arial"/>
          <w:i w:val="0"/>
          <w:iCs w:val="0"/>
          <w:color w:val="auto"/>
          <w:sz w:val="22"/>
          <w:szCs w:val="22"/>
          <w:lang w:val="en-US"/>
        </w:rPr>
      </w:pPr>
      <w:r w:rsidRPr="001A7612">
        <w:rPr>
          <w:rFonts w:ascii="Arial" w:hAnsi="Arial" w:cs="Arial"/>
          <w:i w:val="0"/>
          <w:iCs w:val="0"/>
          <w:color w:val="auto"/>
          <w:sz w:val="22"/>
          <w:szCs w:val="22"/>
          <w:lang w:val="en-US"/>
        </w:rPr>
        <w:lastRenderedPageBreak/>
        <w:t xml:space="preserve">Figure </w:t>
      </w:r>
      <w:r w:rsidRPr="001A7612">
        <w:rPr>
          <w:rFonts w:ascii="Arial" w:hAnsi="Arial" w:cs="Arial"/>
          <w:i w:val="0"/>
          <w:iCs w:val="0"/>
          <w:color w:val="auto"/>
          <w:sz w:val="22"/>
          <w:szCs w:val="22"/>
          <w:lang w:val="en-US"/>
        </w:rPr>
        <w:fldChar w:fldCharType="begin"/>
      </w:r>
      <w:r w:rsidRPr="001A7612">
        <w:rPr>
          <w:rFonts w:ascii="Arial" w:hAnsi="Arial" w:cs="Arial"/>
          <w:i w:val="0"/>
          <w:iCs w:val="0"/>
          <w:color w:val="auto"/>
          <w:sz w:val="22"/>
          <w:szCs w:val="22"/>
          <w:lang w:val="en-US"/>
        </w:rPr>
        <w:instrText xml:space="preserve"> SEQ Figure \* ARABIC </w:instrText>
      </w:r>
      <w:r w:rsidRPr="001A7612">
        <w:rPr>
          <w:rFonts w:ascii="Arial" w:hAnsi="Arial" w:cs="Arial"/>
          <w:i w:val="0"/>
          <w:iCs w:val="0"/>
          <w:color w:val="auto"/>
          <w:sz w:val="22"/>
          <w:szCs w:val="22"/>
          <w:lang w:val="en-US"/>
        </w:rPr>
        <w:fldChar w:fldCharType="separate"/>
      </w:r>
      <w:r w:rsidR="00D32533">
        <w:rPr>
          <w:rFonts w:ascii="Arial" w:hAnsi="Arial" w:cs="Arial"/>
          <w:i w:val="0"/>
          <w:iCs w:val="0"/>
          <w:noProof/>
          <w:color w:val="auto"/>
          <w:sz w:val="22"/>
          <w:szCs w:val="22"/>
          <w:lang w:val="en-US"/>
        </w:rPr>
        <w:t>3</w:t>
      </w:r>
      <w:r w:rsidRPr="001A7612">
        <w:rPr>
          <w:rFonts w:ascii="Arial" w:hAnsi="Arial" w:cs="Arial"/>
          <w:i w:val="0"/>
          <w:iCs w:val="0"/>
          <w:color w:val="auto"/>
          <w:sz w:val="22"/>
          <w:szCs w:val="22"/>
          <w:lang w:val="en-US"/>
        </w:rPr>
        <w:fldChar w:fldCharType="end"/>
      </w:r>
      <w:r w:rsidRPr="001A7612">
        <w:rPr>
          <w:rFonts w:ascii="Arial" w:hAnsi="Arial" w:cs="Arial"/>
          <w:i w:val="0"/>
          <w:iCs w:val="0"/>
          <w:color w:val="auto"/>
          <w:sz w:val="22"/>
          <w:szCs w:val="22"/>
          <w:lang w:val="en-US"/>
        </w:rPr>
        <w:t xml:space="preserve">: COMESA </w:t>
      </w:r>
      <w:r>
        <w:rPr>
          <w:rFonts w:ascii="Arial" w:hAnsi="Arial" w:cs="Arial"/>
          <w:i w:val="0"/>
          <w:iCs w:val="0"/>
          <w:color w:val="auto"/>
          <w:sz w:val="22"/>
          <w:szCs w:val="22"/>
          <w:lang w:val="en-US"/>
        </w:rPr>
        <w:t>a</w:t>
      </w:r>
      <w:r w:rsidRPr="001A7612">
        <w:rPr>
          <w:rFonts w:ascii="Arial" w:hAnsi="Arial" w:cs="Arial"/>
          <w:i w:val="0"/>
          <w:iCs w:val="0"/>
          <w:color w:val="auto"/>
          <w:sz w:val="22"/>
          <w:szCs w:val="22"/>
          <w:lang w:val="en-US"/>
        </w:rPr>
        <w:t>verage Overall Fiscal Balance (</w:t>
      </w:r>
      <w:r>
        <w:rPr>
          <w:rFonts w:ascii="Arial" w:hAnsi="Arial" w:cs="Arial"/>
          <w:i w:val="0"/>
          <w:iCs w:val="0"/>
          <w:color w:val="auto"/>
          <w:sz w:val="22"/>
          <w:szCs w:val="22"/>
          <w:lang w:val="en-US"/>
        </w:rPr>
        <w:t>i</w:t>
      </w:r>
      <w:r w:rsidRPr="001A7612">
        <w:rPr>
          <w:rFonts w:ascii="Arial" w:hAnsi="Arial" w:cs="Arial"/>
          <w:i w:val="0"/>
          <w:iCs w:val="0"/>
          <w:color w:val="auto"/>
          <w:sz w:val="22"/>
          <w:szCs w:val="22"/>
          <w:lang w:val="en-US"/>
        </w:rPr>
        <w:t>ncl</w:t>
      </w:r>
      <w:r>
        <w:rPr>
          <w:rFonts w:ascii="Arial" w:hAnsi="Arial" w:cs="Arial"/>
          <w:i w:val="0"/>
          <w:iCs w:val="0"/>
          <w:color w:val="auto"/>
          <w:sz w:val="22"/>
          <w:szCs w:val="22"/>
          <w:lang w:val="en-US"/>
        </w:rPr>
        <w:t xml:space="preserve">. </w:t>
      </w:r>
      <w:r w:rsidRPr="001A7612">
        <w:rPr>
          <w:rFonts w:ascii="Arial" w:hAnsi="Arial" w:cs="Arial"/>
          <w:i w:val="0"/>
          <w:iCs w:val="0"/>
          <w:color w:val="auto"/>
          <w:sz w:val="22"/>
          <w:szCs w:val="22"/>
          <w:lang w:val="en-US"/>
        </w:rPr>
        <w:t>Grants</w:t>
      </w:r>
      <w:r>
        <w:rPr>
          <w:rFonts w:ascii="Arial" w:hAnsi="Arial" w:cs="Arial"/>
          <w:i w:val="0"/>
          <w:iCs w:val="0"/>
          <w:color w:val="auto"/>
          <w:sz w:val="22"/>
          <w:szCs w:val="22"/>
          <w:lang w:val="en-US"/>
        </w:rPr>
        <w:t>,</w:t>
      </w:r>
      <w:r w:rsidRPr="001A7612">
        <w:rPr>
          <w:rFonts w:ascii="Arial" w:hAnsi="Arial" w:cs="Arial"/>
          <w:i w:val="0"/>
          <w:iCs w:val="0"/>
          <w:color w:val="auto"/>
          <w:sz w:val="22"/>
          <w:szCs w:val="22"/>
          <w:lang w:val="en-US"/>
        </w:rPr>
        <w:t xml:space="preserve"> % of GDP)</w:t>
      </w:r>
    </w:p>
    <w:p w14:paraId="0102FB76" w14:textId="77777777" w:rsidR="00E93D6B" w:rsidRDefault="00E93D6B" w:rsidP="00E93D6B">
      <w:pPr>
        <w:spacing w:after="0" w:line="240" w:lineRule="auto"/>
        <w:jc w:val="both"/>
        <w:rPr>
          <w:rFonts w:ascii="Arial" w:eastAsia="Times New Roman" w:hAnsi="Arial" w:cs="Arial"/>
          <w:b/>
          <w:bCs/>
          <w:color w:val="000000"/>
          <w:lang w:val="en-US" w:eastAsia="en-US" w:bidi="ar-SA"/>
        </w:rPr>
      </w:pPr>
      <w:r>
        <w:rPr>
          <w:noProof/>
          <w:lang w:val="en-US" w:eastAsia="en-US" w:bidi="ar-SA"/>
        </w:rPr>
        <w:drawing>
          <wp:inline distT="0" distB="0" distL="0" distR="0" wp14:anchorId="39E5BF32" wp14:editId="756A3D8C">
            <wp:extent cx="5773420" cy="2105025"/>
            <wp:effectExtent l="0" t="0" r="0" b="0"/>
            <wp:docPr id="7" name="Chart 7">
              <a:extLst xmlns:a="http://schemas.openxmlformats.org/drawingml/2006/main">
                <a:ext uri="{FF2B5EF4-FFF2-40B4-BE49-F238E27FC236}">
                  <a16:creationId xmlns:a16="http://schemas.microsoft.com/office/drawing/2014/main" id="{6FD26221-83A7-5FAE-CB4D-5280228C3A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A7587C0" w14:textId="77777777" w:rsidR="00E93D6B" w:rsidRPr="004C6F8E" w:rsidRDefault="00E93D6B" w:rsidP="00E93D6B">
      <w:pPr>
        <w:pStyle w:val="BodyText2"/>
        <w:spacing w:after="160" w:line="276" w:lineRule="auto"/>
        <w:rPr>
          <w:rFonts w:eastAsia="Calibri" w:cs="Arial"/>
          <w:b w:val="0"/>
          <w:sz w:val="20"/>
          <w:szCs w:val="20"/>
          <w:lang w:val="en-GB" w:bidi="fr-FR"/>
        </w:rPr>
      </w:pPr>
      <w:r w:rsidRPr="004C6F8E">
        <w:rPr>
          <w:rFonts w:eastAsia="Calibri" w:cs="Arial"/>
          <w:b w:val="0"/>
          <w:sz w:val="20"/>
          <w:szCs w:val="20"/>
          <w:lang w:val="en-GB" w:bidi="fr-FR"/>
        </w:rPr>
        <w:t>Source: IMF REO Sub Saharan Africa April 202</w:t>
      </w:r>
      <w:r>
        <w:rPr>
          <w:rFonts w:eastAsia="Calibri" w:cs="Arial"/>
          <w:b w:val="0"/>
          <w:sz w:val="20"/>
          <w:szCs w:val="20"/>
          <w:lang w:val="en-GB" w:bidi="fr-FR"/>
        </w:rPr>
        <w:t>2</w:t>
      </w:r>
    </w:p>
    <w:p w14:paraId="3ABB182B" w14:textId="77777777" w:rsidR="008F7AA0" w:rsidRDefault="008F7AA0" w:rsidP="008F7AA0">
      <w:pPr>
        <w:pStyle w:val="BodyText"/>
        <w:jc w:val="both"/>
        <w:rPr>
          <w:rFonts w:ascii="Arial" w:hAnsi="Arial" w:cs="Arial"/>
          <w:lang w:val="en-US"/>
        </w:rPr>
      </w:pPr>
      <w:r w:rsidRPr="0036000E">
        <w:rPr>
          <w:rFonts w:ascii="Arial" w:hAnsi="Arial" w:cs="Arial"/>
          <w:lang w:val="en-US"/>
        </w:rPr>
        <w:t>The overall fiscal balance for 202</w:t>
      </w:r>
      <w:r>
        <w:rPr>
          <w:rFonts w:ascii="Arial" w:hAnsi="Arial" w:cs="Arial"/>
          <w:lang w:val="en-US"/>
        </w:rPr>
        <w:t xml:space="preserve">2 </w:t>
      </w:r>
      <w:r w:rsidRPr="0036000E">
        <w:rPr>
          <w:rFonts w:ascii="Arial" w:hAnsi="Arial" w:cs="Arial"/>
          <w:lang w:val="en-US"/>
        </w:rPr>
        <w:t xml:space="preserve">is </w:t>
      </w:r>
      <w:r>
        <w:rPr>
          <w:rFonts w:ascii="Arial" w:hAnsi="Arial" w:cs="Arial"/>
          <w:lang w:val="en-US"/>
        </w:rPr>
        <w:t xml:space="preserve">projected to deteriorate </w:t>
      </w:r>
      <w:r w:rsidRPr="0036000E">
        <w:rPr>
          <w:rFonts w:ascii="Arial" w:hAnsi="Arial" w:cs="Arial"/>
          <w:lang w:val="en-US"/>
        </w:rPr>
        <w:t>to -5.</w:t>
      </w:r>
      <w:r>
        <w:rPr>
          <w:rFonts w:ascii="Arial" w:hAnsi="Arial" w:cs="Arial"/>
          <w:lang w:val="en-US"/>
        </w:rPr>
        <w:t>3</w:t>
      </w:r>
      <w:r w:rsidRPr="0036000E">
        <w:rPr>
          <w:rFonts w:ascii="Arial" w:hAnsi="Arial" w:cs="Arial"/>
          <w:lang w:val="en-US"/>
        </w:rPr>
        <w:t>%</w:t>
      </w:r>
      <w:r>
        <w:rPr>
          <w:rFonts w:ascii="Arial" w:hAnsi="Arial" w:cs="Arial"/>
          <w:lang w:val="en-US"/>
        </w:rPr>
        <w:t xml:space="preserve"> </w:t>
      </w:r>
      <w:r w:rsidRPr="0036000E">
        <w:rPr>
          <w:rFonts w:ascii="Arial" w:hAnsi="Arial" w:cs="Arial"/>
          <w:lang w:val="en-US"/>
        </w:rPr>
        <w:t>(</w:t>
      </w:r>
      <w:r w:rsidRPr="0036000E">
        <w:rPr>
          <w:rFonts w:ascii="Arial" w:hAnsi="Arial" w:cs="Arial"/>
          <w:b/>
          <w:lang w:val="en-US"/>
        </w:rPr>
        <w:t>Fig. 3</w:t>
      </w:r>
      <w:r w:rsidRPr="0036000E">
        <w:rPr>
          <w:rFonts w:ascii="Arial" w:hAnsi="Arial" w:cs="Arial"/>
          <w:lang w:val="en-US"/>
        </w:rPr>
        <w:t xml:space="preserve">), </w:t>
      </w:r>
      <w:r>
        <w:rPr>
          <w:rFonts w:ascii="Arial" w:hAnsi="Arial" w:cs="Arial"/>
          <w:lang w:val="en-US"/>
        </w:rPr>
        <w:t xml:space="preserve">more so for net commodity importers, </w:t>
      </w:r>
      <w:r w:rsidRPr="00953080">
        <w:rPr>
          <w:rFonts w:ascii="Arial" w:hAnsi="Arial" w:cs="Arial"/>
          <w:lang w:val="en-US"/>
        </w:rPr>
        <w:t xml:space="preserve">mainly on account of the global commodity price shock, and targeted transfers and subsidies as countries undertake efforts to cushion the vulnerable segments of their populations from the skyrocketing oil and food prices. </w:t>
      </w:r>
    </w:p>
    <w:p w14:paraId="31AA22F1" w14:textId="670B4C84" w:rsidR="00E93D6B" w:rsidRDefault="00E93D6B" w:rsidP="00716532">
      <w:pPr>
        <w:pStyle w:val="BodyText"/>
        <w:jc w:val="both"/>
        <w:rPr>
          <w:rFonts w:ascii="Arial" w:hAnsi="Arial" w:cs="Arial"/>
          <w:lang w:val="en-US"/>
        </w:rPr>
      </w:pPr>
    </w:p>
    <w:p w14:paraId="4AFB22C8" w14:textId="77777777" w:rsidR="00E66874" w:rsidRPr="009C3356" w:rsidRDefault="00E66874" w:rsidP="00716532">
      <w:pPr>
        <w:pStyle w:val="Heading1"/>
        <w:numPr>
          <w:ilvl w:val="0"/>
          <w:numId w:val="10"/>
        </w:numPr>
        <w:spacing w:before="0" w:after="120" w:line="276" w:lineRule="auto"/>
        <w:rPr>
          <w:rFonts w:ascii="Arial" w:hAnsi="Arial" w:cs="Arial"/>
          <w:sz w:val="22"/>
          <w:szCs w:val="22"/>
        </w:rPr>
      </w:pPr>
      <w:bookmarkStart w:id="28" w:name="_Toc70943219"/>
      <w:r w:rsidRPr="009C3356">
        <w:rPr>
          <w:rFonts w:ascii="Arial" w:hAnsi="Arial" w:cs="Arial"/>
          <w:sz w:val="22"/>
          <w:szCs w:val="22"/>
        </w:rPr>
        <w:t>Government Debt</w:t>
      </w:r>
      <w:bookmarkEnd w:id="28"/>
    </w:p>
    <w:p w14:paraId="4A79937B" w14:textId="18452EA2" w:rsidR="00541331" w:rsidRDefault="00BC4368" w:rsidP="00716532">
      <w:pPr>
        <w:pStyle w:val="BodyText"/>
        <w:jc w:val="both"/>
        <w:rPr>
          <w:rFonts w:ascii="Arial" w:hAnsi="Arial" w:cs="Arial"/>
          <w:lang w:val="en-US"/>
        </w:rPr>
      </w:pPr>
      <w:r w:rsidRPr="00B23ECD">
        <w:rPr>
          <w:rFonts w:ascii="Arial" w:hAnsi="Arial" w:cs="Arial"/>
          <w:lang w:val="en-US"/>
        </w:rPr>
        <w:t>T</w:t>
      </w:r>
      <w:r w:rsidR="00E66874" w:rsidRPr="00B23ECD">
        <w:rPr>
          <w:rFonts w:ascii="Arial" w:hAnsi="Arial" w:cs="Arial"/>
          <w:lang w:val="en-US"/>
        </w:rPr>
        <w:t xml:space="preserve">he region’s average Government debt as a share of GDP </w:t>
      </w:r>
      <w:r w:rsidR="009F612D" w:rsidRPr="00B23ECD">
        <w:rPr>
          <w:rFonts w:ascii="Arial" w:hAnsi="Arial" w:cs="Arial"/>
          <w:lang w:val="en-US"/>
        </w:rPr>
        <w:t xml:space="preserve">narrowed to </w:t>
      </w:r>
      <w:bookmarkStart w:id="29" w:name="_Hlk87523840"/>
      <w:r w:rsidR="00E66874" w:rsidRPr="00B23ECD">
        <w:rPr>
          <w:rFonts w:ascii="Arial" w:hAnsi="Arial" w:cs="Arial"/>
          <w:lang w:val="en-US"/>
        </w:rPr>
        <w:t>5</w:t>
      </w:r>
      <w:r w:rsidR="009F612D" w:rsidRPr="00B23ECD">
        <w:rPr>
          <w:rFonts w:ascii="Arial" w:hAnsi="Arial" w:cs="Arial"/>
          <w:lang w:val="en-US"/>
        </w:rPr>
        <w:t>8.5</w:t>
      </w:r>
      <w:r w:rsidR="00E66874" w:rsidRPr="00B23ECD">
        <w:rPr>
          <w:rFonts w:ascii="Arial" w:hAnsi="Arial" w:cs="Arial"/>
          <w:lang w:val="en-US"/>
        </w:rPr>
        <w:t>% in 202</w:t>
      </w:r>
      <w:r w:rsidR="009F612D" w:rsidRPr="00B23ECD">
        <w:rPr>
          <w:rFonts w:ascii="Arial" w:hAnsi="Arial" w:cs="Arial"/>
          <w:lang w:val="en-US"/>
        </w:rPr>
        <w:t>1</w:t>
      </w:r>
      <w:r w:rsidR="00E66874" w:rsidRPr="00B23ECD">
        <w:rPr>
          <w:rFonts w:ascii="Arial" w:hAnsi="Arial" w:cs="Arial"/>
          <w:lang w:val="en-US"/>
        </w:rPr>
        <w:t xml:space="preserve">, compared to </w:t>
      </w:r>
      <w:r w:rsidRPr="00B23ECD">
        <w:rPr>
          <w:rFonts w:ascii="Arial" w:hAnsi="Arial" w:cs="Arial"/>
          <w:lang w:val="en-US"/>
        </w:rPr>
        <w:t>61</w:t>
      </w:r>
      <w:r w:rsidR="00E66874" w:rsidRPr="00B23ECD">
        <w:rPr>
          <w:rFonts w:ascii="Arial" w:hAnsi="Arial" w:cs="Arial"/>
          <w:lang w:val="en-US"/>
        </w:rPr>
        <w:t>% in 20</w:t>
      </w:r>
      <w:r w:rsidRPr="00B23ECD">
        <w:rPr>
          <w:rFonts w:ascii="Arial" w:hAnsi="Arial" w:cs="Arial"/>
          <w:lang w:val="en-US"/>
        </w:rPr>
        <w:t>20</w:t>
      </w:r>
      <w:r w:rsidR="00BB4688">
        <w:rPr>
          <w:rFonts w:ascii="Arial" w:hAnsi="Arial" w:cs="Arial"/>
          <w:lang w:val="en-US"/>
        </w:rPr>
        <w:t xml:space="preserve"> </w:t>
      </w:r>
      <w:r w:rsidR="00BB4688" w:rsidRPr="00B23ECD">
        <w:rPr>
          <w:rFonts w:ascii="Arial" w:hAnsi="Arial" w:cs="Arial"/>
          <w:lang w:val="en-US"/>
        </w:rPr>
        <w:t>(</w:t>
      </w:r>
      <w:r w:rsidR="008F7AA0">
        <w:rPr>
          <w:rFonts w:ascii="Arial" w:hAnsi="Arial" w:cs="Arial"/>
          <w:b/>
          <w:bCs/>
          <w:lang w:val="en-US"/>
        </w:rPr>
        <w:t>Figure</w:t>
      </w:r>
      <w:r w:rsidR="00BB4688">
        <w:rPr>
          <w:rFonts w:ascii="Arial" w:hAnsi="Arial" w:cs="Arial"/>
          <w:lang w:val="en-US"/>
        </w:rPr>
        <w:t xml:space="preserve"> </w:t>
      </w:r>
      <w:r w:rsidR="00BB4688" w:rsidRPr="00B23ECD">
        <w:rPr>
          <w:rFonts w:ascii="Arial" w:hAnsi="Arial" w:cs="Arial"/>
          <w:b/>
          <w:bCs/>
          <w:lang w:val="en-US"/>
        </w:rPr>
        <w:t>4</w:t>
      </w:r>
      <w:r w:rsidR="00BB4688" w:rsidRPr="00B23ECD">
        <w:rPr>
          <w:rFonts w:ascii="Arial" w:hAnsi="Arial" w:cs="Arial"/>
          <w:lang w:val="en-US"/>
        </w:rPr>
        <w:t>)</w:t>
      </w:r>
      <w:r w:rsidR="00BB4688">
        <w:rPr>
          <w:rFonts w:ascii="Arial" w:hAnsi="Arial" w:cs="Arial"/>
          <w:lang w:val="en-US"/>
        </w:rPr>
        <w:t xml:space="preserve">, </w:t>
      </w:r>
      <w:r w:rsidR="00BB4688" w:rsidRPr="00B23ECD">
        <w:rPr>
          <w:rFonts w:ascii="Arial" w:hAnsi="Arial" w:cs="Arial"/>
          <w:lang w:val="en-US"/>
        </w:rPr>
        <w:t xml:space="preserve">mainly on account of economic recovery and </w:t>
      </w:r>
      <w:r w:rsidR="005C680E">
        <w:rPr>
          <w:rFonts w:ascii="Arial" w:hAnsi="Arial" w:cs="Arial"/>
          <w:lang w:val="en-US"/>
        </w:rPr>
        <w:t xml:space="preserve">on continued withdraw </w:t>
      </w:r>
      <w:r w:rsidR="00BB4688" w:rsidRPr="00B23ECD">
        <w:rPr>
          <w:rFonts w:ascii="Arial" w:hAnsi="Arial" w:cs="Arial"/>
          <w:lang w:val="en-US"/>
        </w:rPr>
        <w:t>of the pandemic</w:t>
      </w:r>
      <w:r w:rsidR="005C680E">
        <w:rPr>
          <w:rFonts w:ascii="Arial" w:hAnsi="Arial" w:cs="Arial"/>
          <w:lang w:val="en-US"/>
        </w:rPr>
        <w:t>-</w:t>
      </w:r>
      <w:r w:rsidR="00BB4688" w:rsidRPr="00B23ECD">
        <w:rPr>
          <w:rFonts w:ascii="Arial" w:hAnsi="Arial" w:cs="Arial"/>
          <w:lang w:val="en-US"/>
        </w:rPr>
        <w:t xml:space="preserve">related </w:t>
      </w:r>
      <w:r w:rsidR="005C680E">
        <w:rPr>
          <w:rFonts w:ascii="Arial" w:hAnsi="Arial" w:cs="Arial"/>
          <w:lang w:val="en-US"/>
        </w:rPr>
        <w:t>fiscal measures</w:t>
      </w:r>
      <w:r w:rsidR="00B23ECD">
        <w:rPr>
          <w:rFonts w:ascii="Arial" w:hAnsi="Arial" w:cs="Arial"/>
          <w:lang w:val="en-US"/>
        </w:rPr>
        <w:t>.</w:t>
      </w:r>
      <w:r w:rsidR="00541331" w:rsidRPr="00B23ECD">
        <w:rPr>
          <w:rFonts w:ascii="Arial" w:hAnsi="Arial" w:cs="Arial"/>
          <w:lang w:val="en-US"/>
        </w:rPr>
        <w:t xml:space="preserve"> </w:t>
      </w:r>
      <w:r w:rsidR="00B23ECD">
        <w:rPr>
          <w:rFonts w:ascii="Arial" w:hAnsi="Arial" w:cs="Arial"/>
          <w:lang w:val="en-US"/>
        </w:rPr>
        <w:t>About</w:t>
      </w:r>
      <w:r w:rsidR="00D04AB9" w:rsidRPr="00B23ECD">
        <w:rPr>
          <w:rFonts w:ascii="Arial" w:hAnsi="Arial" w:cs="Arial"/>
          <w:lang w:val="en-US"/>
        </w:rPr>
        <w:t xml:space="preserve"> </w:t>
      </w:r>
      <w:r w:rsidR="00BB4688">
        <w:rPr>
          <w:rFonts w:ascii="Arial" w:hAnsi="Arial" w:cs="Arial"/>
          <w:lang w:val="en-US"/>
        </w:rPr>
        <w:t xml:space="preserve">seven </w:t>
      </w:r>
      <w:r w:rsidR="00B23ECD" w:rsidRPr="00B23ECD">
        <w:rPr>
          <w:rFonts w:ascii="Arial" w:hAnsi="Arial" w:cs="Arial"/>
          <w:lang w:val="en-US"/>
        </w:rPr>
        <w:t>(0</w:t>
      </w:r>
      <w:r w:rsidR="00BB4688">
        <w:rPr>
          <w:rFonts w:ascii="Arial" w:hAnsi="Arial" w:cs="Arial"/>
          <w:lang w:val="en-US"/>
        </w:rPr>
        <w:t>7</w:t>
      </w:r>
      <w:r w:rsidR="00B23ECD" w:rsidRPr="00B23ECD">
        <w:rPr>
          <w:rFonts w:ascii="Arial" w:hAnsi="Arial" w:cs="Arial"/>
          <w:lang w:val="en-US"/>
        </w:rPr>
        <w:t>) COMESA member countries namely, Democratic Republic of Congo, Comoros, Djibouti, Ethiopia, Eswatini, Madagascar, Malawi and Uganda</w:t>
      </w:r>
      <w:r w:rsidR="00B23ECD">
        <w:rPr>
          <w:rFonts w:ascii="Arial" w:hAnsi="Arial" w:cs="Arial"/>
          <w:lang w:val="en-US"/>
        </w:rPr>
        <w:t xml:space="preserve">, as </w:t>
      </w:r>
      <w:r w:rsidR="00BB4688">
        <w:rPr>
          <w:rFonts w:ascii="Arial" w:hAnsi="Arial" w:cs="Arial"/>
          <w:lang w:val="en-US"/>
        </w:rPr>
        <w:t xml:space="preserve">per </w:t>
      </w:r>
      <w:r w:rsidR="00B23ECD">
        <w:rPr>
          <w:rFonts w:ascii="Arial" w:hAnsi="Arial" w:cs="Arial"/>
          <w:lang w:val="en-US"/>
        </w:rPr>
        <w:t>the IMF REO data</w:t>
      </w:r>
      <w:r w:rsidR="00BB4688">
        <w:rPr>
          <w:rFonts w:ascii="Arial" w:hAnsi="Arial" w:cs="Arial"/>
          <w:lang w:val="en-US"/>
        </w:rPr>
        <w:t xml:space="preserve">, </w:t>
      </w:r>
      <w:r w:rsidR="00B23ECD" w:rsidRPr="00B23ECD">
        <w:rPr>
          <w:rFonts w:ascii="Arial" w:hAnsi="Arial" w:cs="Arial"/>
          <w:lang w:val="en-US"/>
        </w:rPr>
        <w:t xml:space="preserve">achieved the revised COMESA secondary Convergence Indicator of total government debt as a share of GDP of less than 65%. </w:t>
      </w:r>
    </w:p>
    <w:bookmarkEnd w:id="29"/>
    <w:p w14:paraId="7FDAF02F" w14:textId="77777777" w:rsidR="00716532" w:rsidRDefault="00716532" w:rsidP="00716532">
      <w:pPr>
        <w:jc w:val="both"/>
        <w:rPr>
          <w:rFonts w:ascii="Arial" w:hAnsi="Arial" w:cs="Arial"/>
          <w:lang w:val="en-US"/>
        </w:rPr>
      </w:pPr>
      <w:r w:rsidRPr="008C697D">
        <w:rPr>
          <w:rFonts w:ascii="Arial" w:hAnsi="Arial" w:cs="Arial"/>
          <w:lang w:val="en-US"/>
        </w:rPr>
        <w:t xml:space="preserve">The need for creditors to implement “debt standstill” called for by the World Bank Group, the IMF and African Governments, will be important in the immediate short term but a more holistic approach for debt relief post COVID-19 will be required, to enable most of the economies in the region to fully recover from the effects of this pandemic. Concerns that accessing bilateral relief package will trigger credit downgrades and undermine future access to capital markets, and concerns of commercial debt obligations will need to be addressed. </w:t>
      </w:r>
    </w:p>
    <w:p w14:paraId="18CDDFF1" w14:textId="09311C64" w:rsidR="00E66874" w:rsidRPr="00E66874" w:rsidRDefault="00E66874" w:rsidP="00E66874">
      <w:pPr>
        <w:pStyle w:val="Caption"/>
        <w:spacing w:after="0"/>
        <w:rPr>
          <w:rFonts w:ascii="Arial" w:hAnsi="Arial" w:cs="Arial"/>
          <w:i w:val="0"/>
          <w:iCs w:val="0"/>
          <w:color w:val="auto"/>
          <w:sz w:val="22"/>
          <w:szCs w:val="22"/>
          <w:lang w:val="en-US"/>
        </w:rPr>
      </w:pPr>
      <w:r w:rsidRPr="00E66874">
        <w:rPr>
          <w:rFonts w:ascii="Arial" w:hAnsi="Arial" w:cs="Arial"/>
          <w:i w:val="0"/>
          <w:iCs w:val="0"/>
          <w:color w:val="auto"/>
          <w:sz w:val="22"/>
          <w:szCs w:val="22"/>
          <w:lang w:val="en-US"/>
        </w:rPr>
        <w:t xml:space="preserve">Figure </w:t>
      </w:r>
      <w:r w:rsidRPr="00E66874">
        <w:rPr>
          <w:rFonts w:ascii="Arial" w:hAnsi="Arial" w:cs="Arial"/>
          <w:i w:val="0"/>
          <w:iCs w:val="0"/>
          <w:color w:val="auto"/>
          <w:sz w:val="22"/>
          <w:szCs w:val="22"/>
          <w:lang w:val="en-US"/>
        </w:rPr>
        <w:fldChar w:fldCharType="begin"/>
      </w:r>
      <w:r w:rsidRPr="00E66874">
        <w:rPr>
          <w:rFonts w:ascii="Arial" w:hAnsi="Arial" w:cs="Arial"/>
          <w:i w:val="0"/>
          <w:iCs w:val="0"/>
          <w:color w:val="auto"/>
          <w:sz w:val="22"/>
          <w:szCs w:val="22"/>
          <w:lang w:val="en-US"/>
        </w:rPr>
        <w:instrText xml:space="preserve"> SEQ Figure \* ARABIC </w:instrText>
      </w:r>
      <w:r w:rsidRPr="00E66874">
        <w:rPr>
          <w:rFonts w:ascii="Arial" w:hAnsi="Arial" w:cs="Arial"/>
          <w:i w:val="0"/>
          <w:iCs w:val="0"/>
          <w:color w:val="auto"/>
          <w:sz w:val="22"/>
          <w:szCs w:val="22"/>
          <w:lang w:val="en-US"/>
        </w:rPr>
        <w:fldChar w:fldCharType="separate"/>
      </w:r>
      <w:r w:rsidR="00D32533">
        <w:rPr>
          <w:rFonts w:ascii="Arial" w:hAnsi="Arial" w:cs="Arial"/>
          <w:i w:val="0"/>
          <w:iCs w:val="0"/>
          <w:noProof/>
          <w:color w:val="auto"/>
          <w:sz w:val="22"/>
          <w:szCs w:val="22"/>
          <w:lang w:val="en-US"/>
        </w:rPr>
        <w:t>4</w:t>
      </w:r>
      <w:r w:rsidRPr="00E66874">
        <w:rPr>
          <w:rFonts w:ascii="Arial" w:hAnsi="Arial" w:cs="Arial"/>
          <w:i w:val="0"/>
          <w:iCs w:val="0"/>
          <w:color w:val="auto"/>
          <w:sz w:val="22"/>
          <w:szCs w:val="22"/>
          <w:lang w:val="en-US"/>
        </w:rPr>
        <w:fldChar w:fldCharType="end"/>
      </w:r>
      <w:r w:rsidRPr="00E66874">
        <w:rPr>
          <w:rFonts w:ascii="Arial" w:hAnsi="Arial" w:cs="Arial"/>
          <w:i w:val="0"/>
          <w:iCs w:val="0"/>
          <w:color w:val="auto"/>
          <w:sz w:val="22"/>
          <w:szCs w:val="22"/>
          <w:lang w:val="en-US"/>
        </w:rPr>
        <w:t>: COMESA average Government Debt (% of GDP).</w:t>
      </w:r>
    </w:p>
    <w:p w14:paraId="3E20CD8F" w14:textId="0D16EDA1" w:rsidR="00E66874" w:rsidRPr="00E23FBA" w:rsidRDefault="00A57969" w:rsidP="00E66874">
      <w:pPr>
        <w:spacing w:after="0" w:line="240" w:lineRule="auto"/>
        <w:rPr>
          <w:lang w:val="en-US" w:eastAsia="en-US" w:bidi="ar-SA"/>
        </w:rPr>
      </w:pPr>
      <w:r>
        <w:rPr>
          <w:noProof/>
          <w:lang w:val="en-US" w:eastAsia="en-US" w:bidi="ar-SA"/>
        </w:rPr>
        <w:drawing>
          <wp:inline distT="0" distB="0" distL="0" distR="0" wp14:anchorId="43A6F07C" wp14:editId="16BF490F">
            <wp:extent cx="5518150" cy="2009775"/>
            <wp:effectExtent l="0" t="0" r="0" b="0"/>
            <wp:docPr id="1" name="Chart 1">
              <a:extLst xmlns:a="http://schemas.openxmlformats.org/drawingml/2006/main">
                <a:ext uri="{FF2B5EF4-FFF2-40B4-BE49-F238E27FC236}">
                  <a16:creationId xmlns:a16="http://schemas.microsoft.com/office/drawing/2014/main" id="{BEF890B5-5BD5-EE46-CF3D-BF8DA33571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B7AAE82" w14:textId="39C8E26C" w:rsidR="00E66874" w:rsidRDefault="00E66874" w:rsidP="00E66874">
      <w:pPr>
        <w:pStyle w:val="BodyText2"/>
        <w:rPr>
          <w:rFonts w:eastAsia="Calibri" w:cs="Arial"/>
          <w:b w:val="0"/>
          <w:sz w:val="20"/>
          <w:szCs w:val="20"/>
          <w:lang w:val="en-GB" w:bidi="fr-FR"/>
        </w:rPr>
      </w:pPr>
      <w:r w:rsidRPr="004C6F8E">
        <w:rPr>
          <w:rFonts w:eastAsia="Calibri" w:cs="Arial"/>
          <w:b w:val="0"/>
          <w:sz w:val="20"/>
          <w:szCs w:val="20"/>
          <w:lang w:val="en-GB" w:bidi="fr-FR"/>
        </w:rPr>
        <w:t>Source: IMF REO Sub Saharan Africa April 202</w:t>
      </w:r>
      <w:r w:rsidR="00595AD7">
        <w:rPr>
          <w:rFonts w:eastAsia="Calibri" w:cs="Arial"/>
          <w:b w:val="0"/>
          <w:sz w:val="20"/>
          <w:szCs w:val="20"/>
          <w:lang w:val="en-GB" w:bidi="fr-FR"/>
        </w:rPr>
        <w:t>2</w:t>
      </w:r>
    </w:p>
    <w:p w14:paraId="1ABD993E" w14:textId="77777777" w:rsidR="008F7AA0" w:rsidRDefault="008F7AA0" w:rsidP="00E66874">
      <w:pPr>
        <w:pStyle w:val="BodyText2"/>
        <w:rPr>
          <w:rFonts w:eastAsia="Calibri" w:cs="Arial"/>
          <w:b w:val="0"/>
          <w:sz w:val="20"/>
          <w:szCs w:val="20"/>
          <w:lang w:val="en-GB" w:bidi="fr-FR"/>
        </w:rPr>
      </w:pPr>
    </w:p>
    <w:p w14:paraId="41F80739" w14:textId="77777777" w:rsidR="008F7AA0" w:rsidRDefault="008F7AA0" w:rsidP="008F7AA0">
      <w:pPr>
        <w:jc w:val="both"/>
        <w:rPr>
          <w:rFonts w:ascii="Arial" w:hAnsi="Arial" w:cs="Arial"/>
          <w:lang w:val="en-US"/>
        </w:rPr>
      </w:pPr>
      <w:r>
        <w:rPr>
          <w:rFonts w:ascii="Arial" w:hAnsi="Arial" w:cs="Arial"/>
          <w:lang w:val="en-US"/>
        </w:rPr>
        <w:lastRenderedPageBreak/>
        <w:t>Going forward, average region go</w:t>
      </w:r>
      <w:r w:rsidRPr="009C3356">
        <w:rPr>
          <w:rFonts w:ascii="Arial" w:hAnsi="Arial" w:cs="Arial"/>
          <w:lang w:val="en-US"/>
        </w:rPr>
        <w:t xml:space="preserve">vernment debt </w:t>
      </w:r>
      <w:r>
        <w:rPr>
          <w:rFonts w:ascii="Arial" w:hAnsi="Arial" w:cs="Arial"/>
          <w:lang w:val="en-US"/>
        </w:rPr>
        <w:t xml:space="preserve">to </w:t>
      </w:r>
      <w:r w:rsidRPr="009C3356">
        <w:rPr>
          <w:rFonts w:ascii="Arial" w:hAnsi="Arial" w:cs="Arial"/>
          <w:lang w:val="en-US"/>
        </w:rPr>
        <w:t>GDP</w:t>
      </w:r>
      <w:r>
        <w:rPr>
          <w:rFonts w:ascii="Arial" w:hAnsi="Arial" w:cs="Arial"/>
          <w:lang w:val="en-US"/>
        </w:rPr>
        <w:t xml:space="preserve"> ratio</w:t>
      </w:r>
      <w:r w:rsidRPr="009C3356">
        <w:rPr>
          <w:rFonts w:ascii="Arial" w:hAnsi="Arial" w:cs="Arial"/>
          <w:lang w:val="en-US"/>
        </w:rPr>
        <w:t xml:space="preserve"> is projected to </w:t>
      </w:r>
      <w:r>
        <w:rPr>
          <w:rFonts w:ascii="Arial" w:hAnsi="Arial" w:cs="Arial"/>
          <w:lang w:val="en-US"/>
        </w:rPr>
        <w:t xml:space="preserve">ease </w:t>
      </w:r>
      <w:r w:rsidRPr="009C3356">
        <w:rPr>
          <w:rFonts w:ascii="Arial" w:hAnsi="Arial" w:cs="Arial"/>
          <w:lang w:val="en-US"/>
        </w:rPr>
        <w:t>somewhat to 58</w:t>
      </w:r>
      <w:r>
        <w:rPr>
          <w:rFonts w:ascii="Arial" w:hAnsi="Arial" w:cs="Arial"/>
          <w:lang w:val="en-US"/>
        </w:rPr>
        <w:t xml:space="preserve">% </w:t>
      </w:r>
      <w:r w:rsidRPr="009C3356">
        <w:rPr>
          <w:rFonts w:ascii="Arial" w:hAnsi="Arial" w:cs="Arial"/>
          <w:lang w:val="en-US"/>
        </w:rPr>
        <w:t>in 202</w:t>
      </w:r>
      <w:r>
        <w:rPr>
          <w:rFonts w:ascii="Arial" w:hAnsi="Arial" w:cs="Arial"/>
          <w:lang w:val="en-US"/>
        </w:rPr>
        <w:t xml:space="preserve">2 and further to 54.8% in 2023. However, should the </w:t>
      </w:r>
      <w:r w:rsidRPr="00953080">
        <w:rPr>
          <w:rFonts w:ascii="Arial" w:hAnsi="Arial" w:cs="Arial"/>
          <w:lang w:val="en-US"/>
        </w:rPr>
        <w:t xml:space="preserve">targeted transfers and subsidies </w:t>
      </w:r>
      <w:r>
        <w:rPr>
          <w:rFonts w:ascii="Arial" w:hAnsi="Arial" w:cs="Arial"/>
          <w:lang w:val="en-US"/>
        </w:rPr>
        <w:t xml:space="preserve">to </w:t>
      </w:r>
      <w:r w:rsidRPr="00953080">
        <w:rPr>
          <w:rFonts w:ascii="Arial" w:hAnsi="Arial" w:cs="Arial"/>
          <w:lang w:val="en-US"/>
        </w:rPr>
        <w:t xml:space="preserve">vulnerable segments of the populations </w:t>
      </w:r>
      <w:r>
        <w:rPr>
          <w:rFonts w:ascii="Arial" w:hAnsi="Arial" w:cs="Arial"/>
          <w:lang w:val="en-US"/>
        </w:rPr>
        <w:t xml:space="preserve">gain momentum, and new infections and variants compounded by </w:t>
      </w:r>
      <w:r w:rsidRPr="00AF72BB">
        <w:rPr>
          <w:rFonts w:ascii="Arial" w:hAnsi="Arial" w:cs="Arial"/>
        </w:rPr>
        <w:t xml:space="preserve">logistical challenges </w:t>
      </w:r>
      <w:r>
        <w:rPr>
          <w:rFonts w:ascii="Arial" w:hAnsi="Arial" w:cs="Arial"/>
        </w:rPr>
        <w:t xml:space="preserve">and </w:t>
      </w:r>
      <w:r w:rsidRPr="00AF72BB">
        <w:rPr>
          <w:rFonts w:ascii="Arial" w:hAnsi="Arial" w:cs="Arial"/>
        </w:rPr>
        <w:t>vaccine hesitancy</w:t>
      </w:r>
      <w:r>
        <w:rPr>
          <w:rFonts w:ascii="Arial" w:hAnsi="Arial" w:cs="Arial"/>
        </w:rPr>
        <w:t xml:space="preserve"> and weak </w:t>
      </w:r>
      <w:r w:rsidRPr="00AF72BB">
        <w:rPr>
          <w:rFonts w:ascii="Arial" w:hAnsi="Arial" w:cs="Arial"/>
        </w:rPr>
        <w:t>local health systems</w:t>
      </w:r>
      <w:r>
        <w:rPr>
          <w:rFonts w:ascii="Arial" w:hAnsi="Arial" w:cs="Arial"/>
        </w:rPr>
        <w:t xml:space="preserve"> </w:t>
      </w:r>
      <w:r>
        <w:rPr>
          <w:rFonts w:ascii="Arial" w:hAnsi="Arial" w:cs="Arial"/>
          <w:lang w:val="en-US"/>
        </w:rPr>
        <w:t>lead to renewed lockdowns</w:t>
      </w:r>
      <w:r>
        <w:rPr>
          <w:rFonts w:ascii="Arial" w:hAnsi="Arial" w:cs="Arial"/>
        </w:rPr>
        <w:t xml:space="preserve">, </w:t>
      </w:r>
      <w:r>
        <w:rPr>
          <w:rFonts w:ascii="Arial" w:hAnsi="Arial" w:cs="Arial"/>
          <w:lang w:val="en-US"/>
        </w:rPr>
        <w:t xml:space="preserve">regional government debt and financing risks could rise further, complicating choices for the existing policy space and eventually, </w:t>
      </w:r>
      <w:r w:rsidRPr="009C3356">
        <w:rPr>
          <w:rFonts w:ascii="Arial" w:hAnsi="Arial" w:cs="Arial"/>
          <w:lang w:val="en-US"/>
        </w:rPr>
        <w:t xml:space="preserve">vulnerability of these countries to debt default. </w:t>
      </w:r>
      <w:r>
        <w:rPr>
          <w:rFonts w:ascii="Arial" w:hAnsi="Arial" w:cs="Arial"/>
          <w:lang w:val="en-US"/>
        </w:rPr>
        <w:t>Already, t</w:t>
      </w:r>
      <w:r w:rsidRPr="009C3356">
        <w:rPr>
          <w:rFonts w:ascii="Arial" w:hAnsi="Arial" w:cs="Arial"/>
          <w:lang w:val="en-US"/>
        </w:rPr>
        <w:t>he debt to GDP ratio for individual countries portrays a more severe and dire situation with some countries debt to GDP ratio projected to rise past 80%</w:t>
      </w:r>
      <w:r>
        <w:rPr>
          <w:rFonts w:ascii="Arial" w:hAnsi="Arial" w:cs="Arial"/>
          <w:lang w:val="en-US"/>
        </w:rPr>
        <w:t>. Thus, u</w:t>
      </w:r>
      <w:r w:rsidRPr="008C697D">
        <w:rPr>
          <w:rFonts w:ascii="Arial" w:hAnsi="Arial" w:cs="Arial"/>
          <w:lang w:val="en-US"/>
        </w:rPr>
        <w:t xml:space="preserve">nless measures are implemented to curtail growth in debt, these countries could face an </w:t>
      </w:r>
      <w:r>
        <w:rPr>
          <w:rFonts w:ascii="Arial" w:hAnsi="Arial" w:cs="Arial"/>
          <w:lang w:val="en-US"/>
        </w:rPr>
        <w:t>explosion</w:t>
      </w:r>
      <w:r w:rsidRPr="008C697D">
        <w:rPr>
          <w:rFonts w:ascii="Arial" w:hAnsi="Arial" w:cs="Arial"/>
          <w:lang w:val="en-US"/>
        </w:rPr>
        <w:t xml:space="preserve"> in the stock of external debt and servicing costs. If left unchecked, the rate of debt accumulation could result in a major source of macroeconomic instability.</w:t>
      </w:r>
      <w:r w:rsidRPr="0076250B">
        <w:rPr>
          <w:rFonts w:ascii="Arial" w:hAnsi="Arial" w:cs="Arial"/>
          <w:lang w:val="en-US"/>
        </w:rPr>
        <w:t xml:space="preserve"> </w:t>
      </w:r>
    </w:p>
    <w:p w14:paraId="3AED5C9F" w14:textId="77777777" w:rsidR="008F7AA0" w:rsidRDefault="008F7AA0" w:rsidP="00E66874">
      <w:pPr>
        <w:pStyle w:val="BodyText2"/>
        <w:rPr>
          <w:rFonts w:eastAsia="Calibri" w:cs="Arial"/>
          <w:b w:val="0"/>
          <w:sz w:val="20"/>
          <w:szCs w:val="20"/>
          <w:lang w:val="en-GB" w:bidi="fr-FR"/>
        </w:rPr>
      </w:pPr>
    </w:p>
    <w:p w14:paraId="405B568C" w14:textId="77777777" w:rsidR="008F7AA0" w:rsidRPr="004C6F8E" w:rsidRDefault="008F7AA0" w:rsidP="00E66874">
      <w:pPr>
        <w:pStyle w:val="BodyText2"/>
        <w:rPr>
          <w:rFonts w:eastAsia="Calibri" w:cs="Arial"/>
          <w:b w:val="0"/>
          <w:sz w:val="20"/>
          <w:szCs w:val="20"/>
          <w:lang w:val="en-GB" w:bidi="fr-FR"/>
        </w:rPr>
      </w:pPr>
    </w:p>
    <w:p w14:paraId="55395D9D" w14:textId="7348DB1A" w:rsidR="00B14CAE" w:rsidRDefault="00B14CAE" w:rsidP="00E66874">
      <w:pPr>
        <w:pStyle w:val="Heading1"/>
        <w:numPr>
          <w:ilvl w:val="0"/>
          <w:numId w:val="10"/>
        </w:numPr>
        <w:spacing w:before="0" w:after="120" w:line="276" w:lineRule="auto"/>
        <w:rPr>
          <w:rFonts w:ascii="Arial" w:hAnsi="Arial" w:cs="Arial"/>
          <w:sz w:val="22"/>
          <w:szCs w:val="22"/>
        </w:rPr>
      </w:pPr>
      <w:bookmarkStart w:id="30" w:name="_Toc70943220"/>
      <w:r w:rsidRPr="00DF41CE">
        <w:rPr>
          <w:rFonts w:ascii="Arial" w:hAnsi="Arial" w:cs="Arial"/>
          <w:sz w:val="22"/>
          <w:szCs w:val="22"/>
        </w:rPr>
        <w:t>External Current Account Including Grant</w:t>
      </w:r>
      <w:bookmarkEnd w:id="14"/>
      <w:bookmarkEnd w:id="30"/>
    </w:p>
    <w:p w14:paraId="078286F5" w14:textId="1A13CF05" w:rsidR="003634A2" w:rsidRPr="00B67D92" w:rsidRDefault="0091473B" w:rsidP="00AB55E9">
      <w:pPr>
        <w:jc w:val="both"/>
        <w:rPr>
          <w:rFonts w:ascii="Arial" w:hAnsi="Arial" w:cs="Arial"/>
          <w:bCs/>
          <w:color w:val="C0504D" w:themeColor="accent2"/>
          <w:lang w:val="en-US"/>
        </w:rPr>
      </w:pPr>
      <w:r w:rsidRPr="00AB55E9">
        <w:rPr>
          <w:rFonts w:ascii="Arial" w:hAnsi="Arial" w:cs="Arial"/>
          <w:bCs/>
          <w:lang w:val="en-US"/>
        </w:rPr>
        <w:t>The COMESA region e</w:t>
      </w:r>
      <w:r w:rsidR="00B14CAE" w:rsidRPr="00AB55E9">
        <w:rPr>
          <w:rFonts w:ascii="Arial" w:hAnsi="Arial" w:cs="Arial"/>
          <w:bCs/>
          <w:lang w:val="en-US"/>
        </w:rPr>
        <w:t xml:space="preserve">xternal </w:t>
      </w:r>
      <w:r w:rsidRPr="00AB55E9">
        <w:rPr>
          <w:rFonts w:ascii="Arial" w:hAnsi="Arial" w:cs="Arial"/>
          <w:bCs/>
          <w:lang w:val="en-US"/>
        </w:rPr>
        <w:t>c</w:t>
      </w:r>
      <w:r w:rsidR="00B14CAE" w:rsidRPr="00AB55E9">
        <w:rPr>
          <w:rFonts w:ascii="Arial" w:hAnsi="Arial" w:cs="Arial"/>
          <w:bCs/>
          <w:lang w:val="en-US"/>
        </w:rPr>
        <w:t>urrent account including grants</w:t>
      </w:r>
      <w:r w:rsidR="00AB55E9" w:rsidRPr="00AB55E9">
        <w:rPr>
          <w:rFonts w:ascii="Arial" w:hAnsi="Arial" w:cs="Arial"/>
          <w:bCs/>
          <w:lang w:val="en-US"/>
        </w:rPr>
        <w:t xml:space="preserve">, as a percentage of GDP, </w:t>
      </w:r>
      <w:r w:rsidR="00B67D92">
        <w:rPr>
          <w:rFonts w:ascii="Arial" w:hAnsi="Arial" w:cs="Arial"/>
          <w:bCs/>
          <w:lang w:val="en-US"/>
        </w:rPr>
        <w:t>improved</w:t>
      </w:r>
      <w:r w:rsidR="002D3CE1">
        <w:rPr>
          <w:rFonts w:ascii="Arial" w:hAnsi="Arial" w:cs="Arial"/>
          <w:bCs/>
          <w:lang w:val="en-US"/>
        </w:rPr>
        <w:t xml:space="preserve"> </w:t>
      </w:r>
      <w:r w:rsidRPr="00AB55E9">
        <w:rPr>
          <w:rFonts w:ascii="Arial" w:hAnsi="Arial" w:cs="Arial"/>
          <w:bCs/>
          <w:lang w:val="en-US"/>
        </w:rPr>
        <w:t>to an average of</w:t>
      </w:r>
      <w:r w:rsidR="00B14CAE" w:rsidRPr="00AB55E9">
        <w:rPr>
          <w:rFonts w:ascii="Arial" w:hAnsi="Arial" w:cs="Arial"/>
          <w:bCs/>
          <w:lang w:val="en-US"/>
        </w:rPr>
        <w:t xml:space="preserve"> -</w:t>
      </w:r>
      <w:r w:rsidR="00B67D92">
        <w:rPr>
          <w:rFonts w:ascii="Arial" w:hAnsi="Arial" w:cs="Arial"/>
          <w:bCs/>
          <w:lang w:val="en-US"/>
        </w:rPr>
        <w:t xml:space="preserve">3.7% </w:t>
      </w:r>
      <w:r w:rsidR="00B14CAE" w:rsidRPr="00AB55E9">
        <w:rPr>
          <w:rFonts w:ascii="Arial" w:hAnsi="Arial" w:cs="Arial"/>
          <w:bCs/>
          <w:lang w:val="en-US"/>
        </w:rPr>
        <w:t>in 20</w:t>
      </w:r>
      <w:r w:rsidRPr="00AB55E9">
        <w:rPr>
          <w:rFonts w:ascii="Arial" w:hAnsi="Arial" w:cs="Arial"/>
          <w:bCs/>
          <w:lang w:val="en-US"/>
        </w:rPr>
        <w:t>2</w:t>
      </w:r>
      <w:r w:rsidR="00B67D92">
        <w:rPr>
          <w:rFonts w:ascii="Arial" w:hAnsi="Arial" w:cs="Arial"/>
          <w:bCs/>
          <w:lang w:val="en-US"/>
        </w:rPr>
        <w:t>1</w:t>
      </w:r>
      <w:r w:rsidRPr="00AB55E9">
        <w:rPr>
          <w:rFonts w:ascii="Arial" w:hAnsi="Arial" w:cs="Arial"/>
          <w:bCs/>
          <w:lang w:val="en-US"/>
        </w:rPr>
        <w:t xml:space="preserve">, </w:t>
      </w:r>
      <w:r w:rsidR="002D3CE1">
        <w:rPr>
          <w:rFonts w:ascii="Arial" w:hAnsi="Arial" w:cs="Arial"/>
          <w:bCs/>
          <w:lang w:val="en-US"/>
        </w:rPr>
        <w:t xml:space="preserve">relative to </w:t>
      </w:r>
      <w:r w:rsidR="00B67D92">
        <w:rPr>
          <w:rFonts w:ascii="Arial" w:hAnsi="Arial" w:cs="Arial"/>
          <w:bCs/>
          <w:lang w:val="en-US"/>
        </w:rPr>
        <w:t xml:space="preserve">-4.1% in </w:t>
      </w:r>
      <w:r w:rsidR="00B14CAE" w:rsidRPr="00AB55E9">
        <w:rPr>
          <w:rFonts w:ascii="Arial" w:hAnsi="Arial" w:cs="Arial"/>
          <w:bCs/>
          <w:lang w:val="en-US"/>
        </w:rPr>
        <w:t>20</w:t>
      </w:r>
      <w:r w:rsidR="00B67D92">
        <w:rPr>
          <w:rFonts w:ascii="Arial" w:hAnsi="Arial" w:cs="Arial"/>
          <w:bCs/>
          <w:lang w:val="en-US"/>
        </w:rPr>
        <w:t>20</w:t>
      </w:r>
      <w:r w:rsidR="00AB55E9" w:rsidRPr="00AB55E9">
        <w:rPr>
          <w:rFonts w:ascii="Arial" w:hAnsi="Arial" w:cs="Arial"/>
          <w:bCs/>
          <w:lang w:val="en-US"/>
        </w:rPr>
        <w:t xml:space="preserve"> </w:t>
      </w:r>
      <w:r w:rsidR="00302867" w:rsidRPr="00AB55E9">
        <w:rPr>
          <w:rFonts w:ascii="Arial" w:hAnsi="Arial" w:cs="Arial"/>
          <w:bCs/>
          <w:lang w:val="en-US"/>
        </w:rPr>
        <w:t>(</w:t>
      </w:r>
      <w:r w:rsidR="008F7AA0" w:rsidRPr="008F7AA0">
        <w:rPr>
          <w:rFonts w:ascii="Arial" w:hAnsi="Arial" w:cs="Arial"/>
          <w:b/>
          <w:lang w:val="en-US"/>
        </w:rPr>
        <w:t>Figure 5</w:t>
      </w:r>
      <w:r w:rsidR="00302867" w:rsidRPr="00AB55E9">
        <w:rPr>
          <w:rFonts w:ascii="Arial" w:hAnsi="Arial" w:cs="Arial"/>
          <w:bCs/>
          <w:lang w:val="en-US"/>
        </w:rPr>
        <w:t>)</w:t>
      </w:r>
      <w:r w:rsidR="00DF41CE" w:rsidRPr="00AB55E9">
        <w:rPr>
          <w:rFonts w:ascii="Arial" w:hAnsi="Arial" w:cs="Arial"/>
          <w:bCs/>
          <w:lang w:val="en-US"/>
        </w:rPr>
        <w:t>.</w:t>
      </w:r>
      <w:r w:rsidR="00B14CAE" w:rsidRPr="00AB55E9">
        <w:rPr>
          <w:rFonts w:ascii="Arial" w:hAnsi="Arial" w:cs="Arial"/>
          <w:bCs/>
          <w:lang w:val="en-US"/>
        </w:rPr>
        <w:t xml:space="preserve"> The</w:t>
      </w:r>
      <w:r w:rsidR="00AB55E9" w:rsidRPr="00AB55E9">
        <w:rPr>
          <w:rFonts w:ascii="Arial" w:hAnsi="Arial" w:cs="Arial"/>
          <w:bCs/>
          <w:lang w:val="en-US"/>
        </w:rPr>
        <w:t xml:space="preserve"> </w:t>
      </w:r>
      <w:r w:rsidR="00B67D92">
        <w:rPr>
          <w:rFonts w:ascii="Arial" w:hAnsi="Arial" w:cs="Arial"/>
          <w:bCs/>
          <w:lang w:val="en-US"/>
        </w:rPr>
        <w:t xml:space="preserve">persistent </w:t>
      </w:r>
      <w:r w:rsidR="00DF41CE" w:rsidRPr="00AB55E9">
        <w:rPr>
          <w:rFonts w:ascii="Arial" w:hAnsi="Arial" w:cs="Arial"/>
          <w:bCs/>
          <w:lang w:val="en-US"/>
        </w:rPr>
        <w:t xml:space="preserve">external current account </w:t>
      </w:r>
      <w:r w:rsidR="00AB55E9" w:rsidRPr="00AB55E9">
        <w:rPr>
          <w:rFonts w:ascii="Arial" w:hAnsi="Arial" w:cs="Arial"/>
          <w:bCs/>
          <w:lang w:val="en-US"/>
        </w:rPr>
        <w:t xml:space="preserve">deficit </w:t>
      </w:r>
      <w:r w:rsidR="00DF41CE" w:rsidRPr="00AB55E9">
        <w:rPr>
          <w:rFonts w:ascii="Arial" w:hAnsi="Arial" w:cs="Arial"/>
          <w:bCs/>
          <w:lang w:val="en-US"/>
        </w:rPr>
        <w:t xml:space="preserve">for most economies in the region </w:t>
      </w:r>
      <w:r w:rsidR="00AB55E9">
        <w:rPr>
          <w:rFonts w:ascii="Arial" w:hAnsi="Arial" w:cs="Arial"/>
          <w:bCs/>
          <w:lang w:val="en-US"/>
        </w:rPr>
        <w:t xml:space="preserve">is due to the usual </w:t>
      </w:r>
      <w:r w:rsidR="00AB55E9" w:rsidRPr="00AB55E9">
        <w:rPr>
          <w:rFonts w:ascii="Arial" w:hAnsi="Arial" w:cs="Arial"/>
          <w:bCs/>
          <w:lang w:val="en-US"/>
        </w:rPr>
        <w:t xml:space="preserve">persistent </w:t>
      </w:r>
      <w:r w:rsidR="00B14CAE" w:rsidRPr="00AB55E9">
        <w:rPr>
          <w:rFonts w:ascii="Arial" w:hAnsi="Arial" w:cs="Arial"/>
          <w:bCs/>
          <w:lang w:val="en-US"/>
        </w:rPr>
        <w:t xml:space="preserve">trade imbalances due to a combination of declining export demand and relatively inelastic import bills, and in some cases late disbursement of external aid flows faced by most countries in the COMESA region. </w:t>
      </w:r>
      <w:r w:rsidR="00AB55E9" w:rsidRPr="002E4A05">
        <w:rPr>
          <w:rFonts w:ascii="Arial" w:hAnsi="Arial" w:cs="Arial"/>
          <w:bCs/>
          <w:lang w:val="en-US"/>
        </w:rPr>
        <w:t xml:space="preserve">The outturn </w:t>
      </w:r>
      <w:r w:rsidR="003634A2" w:rsidRPr="002E4A05">
        <w:rPr>
          <w:rFonts w:ascii="Arial" w:hAnsi="Arial" w:cs="Arial"/>
          <w:bCs/>
          <w:lang w:val="en-US"/>
        </w:rPr>
        <w:t xml:space="preserve">for </w:t>
      </w:r>
      <w:r w:rsidR="00AB55E9" w:rsidRPr="002E4A05">
        <w:rPr>
          <w:rFonts w:ascii="Arial" w:hAnsi="Arial" w:cs="Arial"/>
          <w:bCs/>
          <w:lang w:val="en-US"/>
        </w:rPr>
        <w:t xml:space="preserve">the year under review is </w:t>
      </w:r>
      <w:r w:rsidR="00DF41CE" w:rsidRPr="002E4A05">
        <w:rPr>
          <w:rFonts w:ascii="Arial" w:hAnsi="Arial" w:cs="Arial"/>
          <w:bCs/>
          <w:lang w:val="en-US"/>
        </w:rPr>
        <w:t>primarily due to</w:t>
      </w:r>
      <w:r w:rsidR="00DF41CE" w:rsidRPr="00B67D92">
        <w:rPr>
          <w:rFonts w:ascii="Arial" w:hAnsi="Arial" w:cs="Arial"/>
          <w:bCs/>
          <w:color w:val="C0504D" w:themeColor="accent2"/>
          <w:lang w:val="en-US"/>
        </w:rPr>
        <w:t xml:space="preserve"> </w:t>
      </w:r>
      <w:r w:rsidR="002E4A05">
        <w:rPr>
          <w:rFonts w:ascii="Arial" w:hAnsi="Arial" w:cs="Arial"/>
          <w:bCs/>
          <w:lang w:val="en-US"/>
        </w:rPr>
        <w:t xml:space="preserve">increases in exports as worldwide demand firmed up, </w:t>
      </w:r>
      <w:r w:rsidR="002E4A05" w:rsidRPr="002C20DD">
        <w:rPr>
          <w:rFonts w:ascii="Arial" w:hAnsi="Arial" w:cs="Arial"/>
          <w:lang w:val="en-US"/>
        </w:rPr>
        <w:t xml:space="preserve">higher </w:t>
      </w:r>
      <w:r w:rsidR="002E4A05">
        <w:rPr>
          <w:rFonts w:ascii="Arial" w:hAnsi="Arial" w:cs="Arial"/>
          <w:lang w:val="en-US"/>
        </w:rPr>
        <w:t xml:space="preserve">export </w:t>
      </w:r>
      <w:r w:rsidR="002E4A05" w:rsidRPr="002C20DD">
        <w:rPr>
          <w:rFonts w:ascii="Arial" w:hAnsi="Arial" w:cs="Arial"/>
          <w:lang w:val="en-US"/>
        </w:rPr>
        <w:t>commodity prices</w:t>
      </w:r>
      <w:r w:rsidR="002E4A05">
        <w:rPr>
          <w:rFonts w:ascii="Arial" w:hAnsi="Arial" w:cs="Arial"/>
          <w:bCs/>
          <w:lang w:val="en-US"/>
        </w:rPr>
        <w:t xml:space="preserve"> for commodity exporters </w:t>
      </w:r>
      <w:r w:rsidR="002E4A05" w:rsidRPr="002C20DD">
        <w:rPr>
          <w:rFonts w:ascii="Arial" w:hAnsi="Arial" w:cs="Arial"/>
          <w:lang w:val="en-US"/>
        </w:rPr>
        <w:t>and a resumption of capital inflows</w:t>
      </w:r>
      <w:r w:rsidR="002E4A05">
        <w:rPr>
          <w:rFonts w:ascii="Arial" w:hAnsi="Arial" w:cs="Arial"/>
          <w:lang w:val="en-US"/>
        </w:rPr>
        <w:t xml:space="preserve">, particularly </w:t>
      </w:r>
      <w:r w:rsidR="002E4A05">
        <w:rPr>
          <w:rFonts w:ascii="Arial" w:hAnsi="Arial" w:cs="Arial"/>
          <w:bCs/>
          <w:lang w:val="en-US"/>
        </w:rPr>
        <w:t>recovery in remittances</w:t>
      </w:r>
      <w:r w:rsidR="00F9584B" w:rsidRPr="00B67D92">
        <w:rPr>
          <w:rFonts w:ascii="Arial" w:hAnsi="Arial" w:cs="Arial"/>
          <w:bCs/>
          <w:color w:val="C0504D" w:themeColor="accent2"/>
          <w:lang w:val="en-US"/>
        </w:rPr>
        <w:t>.</w:t>
      </w:r>
      <w:r w:rsidR="003634A2" w:rsidRPr="00B67D92">
        <w:rPr>
          <w:rFonts w:ascii="Arial" w:hAnsi="Arial" w:cs="Arial"/>
          <w:bCs/>
          <w:color w:val="C0504D" w:themeColor="accent2"/>
          <w:lang w:val="en-US"/>
        </w:rPr>
        <w:t xml:space="preserve"> </w:t>
      </w:r>
    </w:p>
    <w:p w14:paraId="43E640D9" w14:textId="053FD830" w:rsidR="007B704B" w:rsidRPr="000A159A" w:rsidRDefault="007B704B" w:rsidP="007B704B">
      <w:pPr>
        <w:spacing w:after="160"/>
        <w:jc w:val="both"/>
        <w:rPr>
          <w:rFonts w:ascii="Arial" w:hAnsi="Arial" w:cs="Arial"/>
          <w:bCs/>
          <w:lang w:val="en-US"/>
        </w:rPr>
      </w:pPr>
      <w:r>
        <w:rPr>
          <w:rFonts w:ascii="Arial" w:hAnsi="Arial" w:cs="Arial"/>
          <w:bCs/>
          <w:lang w:val="en-US"/>
        </w:rPr>
        <w:t xml:space="preserve">The </w:t>
      </w:r>
      <w:r w:rsidRPr="00AB55E9">
        <w:rPr>
          <w:rFonts w:ascii="Arial" w:hAnsi="Arial" w:cs="Arial"/>
          <w:bCs/>
          <w:lang w:val="en-US"/>
        </w:rPr>
        <w:t xml:space="preserve">external current account including grants is projected to </w:t>
      </w:r>
      <w:r w:rsidR="0062338F">
        <w:rPr>
          <w:rFonts w:ascii="Arial" w:hAnsi="Arial" w:cs="Arial"/>
          <w:bCs/>
          <w:lang w:val="en-US"/>
        </w:rPr>
        <w:t>deteriorate to -4.3% of GDP in 2022, but improve, albeit marginally to -4.2% of GDP in 2023</w:t>
      </w:r>
      <w:r w:rsidRPr="002174D5">
        <w:rPr>
          <w:rFonts w:ascii="Arial" w:hAnsi="Arial" w:cs="Arial"/>
          <w:bCs/>
          <w:lang w:val="en-US"/>
        </w:rPr>
        <w:t>.</w:t>
      </w:r>
      <w:r w:rsidRPr="00AB55E9">
        <w:rPr>
          <w:rFonts w:ascii="Arial" w:hAnsi="Arial" w:cs="Arial"/>
          <w:bCs/>
          <w:lang w:val="en-US"/>
        </w:rPr>
        <w:t xml:space="preserve"> </w:t>
      </w:r>
      <w:r>
        <w:rPr>
          <w:rFonts w:ascii="Arial" w:hAnsi="Arial" w:cs="Arial"/>
          <w:bCs/>
          <w:lang w:val="en-US"/>
        </w:rPr>
        <w:t xml:space="preserve">This </w:t>
      </w:r>
      <w:r w:rsidR="0062338F">
        <w:rPr>
          <w:rFonts w:ascii="Arial" w:hAnsi="Arial" w:cs="Arial"/>
          <w:bCs/>
          <w:lang w:val="en-US"/>
        </w:rPr>
        <w:t>deterioration in the</w:t>
      </w:r>
      <w:r w:rsidR="00011181">
        <w:rPr>
          <w:rFonts w:ascii="Arial" w:hAnsi="Arial" w:cs="Arial"/>
          <w:bCs/>
          <w:lang w:val="en-US"/>
        </w:rPr>
        <w:t xml:space="preserve"> external current account is on account of confluence of factors. L</w:t>
      </w:r>
      <w:r w:rsidR="0062338F" w:rsidRPr="0062338F">
        <w:rPr>
          <w:rFonts w:ascii="Arial" w:hAnsi="Arial" w:cs="Arial"/>
          <w:bCs/>
          <w:lang w:val="en-US"/>
        </w:rPr>
        <w:t xml:space="preserve">ower </w:t>
      </w:r>
      <w:r w:rsidR="0062338F">
        <w:rPr>
          <w:rFonts w:ascii="Arial" w:hAnsi="Arial" w:cs="Arial"/>
          <w:bCs/>
          <w:lang w:val="en-US"/>
        </w:rPr>
        <w:t xml:space="preserve">global </w:t>
      </w:r>
      <w:r w:rsidR="0062338F" w:rsidRPr="0062338F">
        <w:rPr>
          <w:rFonts w:ascii="Arial" w:hAnsi="Arial" w:cs="Arial"/>
          <w:bCs/>
          <w:lang w:val="en-US"/>
        </w:rPr>
        <w:t xml:space="preserve">demand because of the </w:t>
      </w:r>
      <w:r w:rsidR="00011181">
        <w:rPr>
          <w:rFonts w:ascii="Arial" w:hAnsi="Arial" w:cs="Arial"/>
          <w:bCs/>
          <w:lang w:val="en-US"/>
        </w:rPr>
        <w:t xml:space="preserve">slowdown in </w:t>
      </w:r>
      <w:r w:rsidR="0062338F" w:rsidRPr="0062338F">
        <w:rPr>
          <w:rFonts w:ascii="Arial" w:hAnsi="Arial" w:cs="Arial"/>
          <w:bCs/>
          <w:lang w:val="en-US"/>
        </w:rPr>
        <w:t xml:space="preserve">global </w:t>
      </w:r>
      <w:r w:rsidR="00011181">
        <w:rPr>
          <w:rFonts w:ascii="Arial" w:hAnsi="Arial" w:cs="Arial"/>
          <w:bCs/>
          <w:lang w:val="en-US"/>
        </w:rPr>
        <w:t xml:space="preserve">economic </w:t>
      </w:r>
      <w:r w:rsidR="0062338F" w:rsidRPr="0062338F">
        <w:rPr>
          <w:rFonts w:ascii="Arial" w:hAnsi="Arial" w:cs="Arial"/>
          <w:bCs/>
          <w:lang w:val="en-US"/>
        </w:rPr>
        <w:t xml:space="preserve">activity </w:t>
      </w:r>
      <w:r w:rsidR="00011181">
        <w:rPr>
          <w:rFonts w:ascii="Arial" w:hAnsi="Arial" w:cs="Arial"/>
          <w:bCs/>
          <w:lang w:val="en-US"/>
        </w:rPr>
        <w:t xml:space="preserve">driven by </w:t>
      </w:r>
      <w:r w:rsidR="0062338F" w:rsidRPr="0062338F">
        <w:rPr>
          <w:rFonts w:ascii="Arial" w:hAnsi="Arial" w:cs="Arial"/>
          <w:bCs/>
          <w:lang w:val="en-US"/>
        </w:rPr>
        <w:t>less fiscal stimulus and tighter monetary conditions</w:t>
      </w:r>
      <w:r w:rsidR="00011181">
        <w:rPr>
          <w:rFonts w:ascii="Arial" w:hAnsi="Arial" w:cs="Arial"/>
          <w:bCs/>
          <w:lang w:val="en-US"/>
        </w:rPr>
        <w:t xml:space="preserve">; </w:t>
      </w:r>
      <w:r w:rsidR="000A159A">
        <w:rPr>
          <w:rFonts w:ascii="Arial" w:hAnsi="Arial" w:cs="Arial"/>
          <w:bCs/>
          <w:lang w:val="en-US"/>
        </w:rPr>
        <w:t xml:space="preserve">and </w:t>
      </w:r>
      <w:r w:rsidR="00011181" w:rsidRPr="00011181">
        <w:rPr>
          <w:rFonts w:ascii="Arial" w:hAnsi="Arial" w:cs="Arial"/>
          <w:bCs/>
          <w:lang w:val="en-US"/>
        </w:rPr>
        <w:t xml:space="preserve">climate change </w:t>
      </w:r>
      <w:r w:rsidR="00011181">
        <w:rPr>
          <w:rFonts w:ascii="Arial" w:hAnsi="Arial" w:cs="Arial"/>
          <w:bCs/>
          <w:lang w:val="en-US"/>
        </w:rPr>
        <w:t xml:space="preserve">which </w:t>
      </w:r>
      <w:r w:rsidR="00011181" w:rsidRPr="00011181">
        <w:rPr>
          <w:rFonts w:ascii="Arial" w:hAnsi="Arial" w:cs="Arial"/>
          <w:bCs/>
          <w:lang w:val="en-US"/>
        </w:rPr>
        <w:t xml:space="preserve">poses </w:t>
      </w:r>
      <w:r w:rsidR="00011181">
        <w:rPr>
          <w:rFonts w:ascii="Arial" w:hAnsi="Arial" w:cs="Arial"/>
          <w:bCs/>
          <w:lang w:val="en-US"/>
        </w:rPr>
        <w:t xml:space="preserve">an </w:t>
      </w:r>
      <w:r w:rsidR="00011181" w:rsidRPr="00011181">
        <w:rPr>
          <w:rFonts w:ascii="Arial" w:hAnsi="Arial" w:cs="Arial"/>
          <w:bCs/>
          <w:lang w:val="en-US"/>
        </w:rPr>
        <w:t xml:space="preserve">extreme challenge for the region given </w:t>
      </w:r>
      <w:r w:rsidR="00011181">
        <w:rPr>
          <w:rFonts w:ascii="Arial" w:hAnsi="Arial" w:cs="Arial"/>
          <w:bCs/>
          <w:lang w:val="en-US"/>
        </w:rPr>
        <w:t xml:space="preserve">its </w:t>
      </w:r>
      <w:r w:rsidR="00011181" w:rsidRPr="00011181">
        <w:rPr>
          <w:rFonts w:ascii="Arial" w:hAnsi="Arial" w:cs="Arial"/>
          <w:bCs/>
          <w:lang w:val="en-US"/>
        </w:rPr>
        <w:t xml:space="preserve">exposure to weather-related </w:t>
      </w:r>
      <w:r w:rsidR="000A159A">
        <w:rPr>
          <w:rFonts w:ascii="Arial" w:hAnsi="Arial" w:cs="Arial"/>
          <w:bCs/>
          <w:lang w:val="en-US"/>
        </w:rPr>
        <w:t xml:space="preserve">shocks.  </w:t>
      </w:r>
    </w:p>
    <w:p w14:paraId="6205BAEE" w14:textId="076B379E" w:rsidR="007B704B" w:rsidRPr="00A04EF3" w:rsidRDefault="007B704B" w:rsidP="007B704B">
      <w:pPr>
        <w:spacing w:after="0" w:line="240" w:lineRule="auto"/>
        <w:jc w:val="both"/>
        <w:rPr>
          <w:rFonts w:ascii="Arial" w:hAnsi="Arial" w:cs="Arial"/>
          <w:bCs/>
          <w:iCs/>
          <w:lang w:val="en-US"/>
        </w:rPr>
      </w:pPr>
      <w:r w:rsidRPr="00A04EF3">
        <w:rPr>
          <w:rFonts w:ascii="Arial" w:hAnsi="Arial" w:cs="Arial"/>
          <w:bCs/>
          <w:iCs/>
          <w:lang w:val="en-US"/>
        </w:rPr>
        <w:t xml:space="preserve">Figure </w:t>
      </w:r>
      <w:r w:rsidRPr="00A04EF3">
        <w:rPr>
          <w:rFonts w:ascii="Arial" w:hAnsi="Arial" w:cs="Arial"/>
          <w:bCs/>
          <w:iCs/>
          <w:lang w:val="en-US"/>
        </w:rPr>
        <w:fldChar w:fldCharType="begin"/>
      </w:r>
      <w:r w:rsidRPr="00A04EF3">
        <w:rPr>
          <w:rFonts w:ascii="Arial" w:hAnsi="Arial" w:cs="Arial"/>
          <w:bCs/>
          <w:iCs/>
          <w:lang w:val="en-US"/>
        </w:rPr>
        <w:instrText xml:space="preserve"> SEQ Figure \* ARABIC </w:instrText>
      </w:r>
      <w:r w:rsidRPr="00A04EF3">
        <w:rPr>
          <w:rFonts w:ascii="Arial" w:hAnsi="Arial" w:cs="Arial"/>
          <w:bCs/>
          <w:iCs/>
          <w:lang w:val="en-US"/>
        </w:rPr>
        <w:fldChar w:fldCharType="separate"/>
      </w:r>
      <w:r w:rsidR="00D32533">
        <w:rPr>
          <w:rFonts w:ascii="Arial" w:hAnsi="Arial" w:cs="Arial"/>
          <w:bCs/>
          <w:iCs/>
          <w:noProof/>
          <w:lang w:val="en-US"/>
        </w:rPr>
        <w:t>5</w:t>
      </w:r>
      <w:r w:rsidRPr="00A04EF3">
        <w:rPr>
          <w:rFonts w:ascii="Arial" w:hAnsi="Arial" w:cs="Arial"/>
          <w:bCs/>
          <w:iCs/>
          <w:lang w:val="en-US"/>
        </w:rPr>
        <w:fldChar w:fldCharType="end"/>
      </w:r>
      <w:r w:rsidRPr="00A04EF3">
        <w:rPr>
          <w:rFonts w:ascii="Arial" w:hAnsi="Arial" w:cs="Arial"/>
          <w:bCs/>
          <w:iCs/>
          <w:lang w:val="en-US"/>
        </w:rPr>
        <w:t>: COMESA average External Current Account (incl. Grants, % of GDP) </w:t>
      </w:r>
    </w:p>
    <w:p w14:paraId="10E12A3C" w14:textId="77777777" w:rsidR="007B704B" w:rsidRDefault="007B704B" w:rsidP="007B704B">
      <w:pPr>
        <w:spacing w:after="0" w:line="240" w:lineRule="auto"/>
        <w:rPr>
          <w:lang w:val="en-GB" w:eastAsia="en-US" w:bidi="ar-SA"/>
        </w:rPr>
      </w:pPr>
      <w:r>
        <w:rPr>
          <w:noProof/>
          <w:lang w:val="en-US" w:eastAsia="en-US" w:bidi="ar-SA"/>
        </w:rPr>
        <w:drawing>
          <wp:inline distT="0" distB="0" distL="0" distR="0" wp14:anchorId="7DA2EF3E" wp14:editId="6EC1290A">
            <wp:extent cx="5496560" cy="2222205"/>
            <wp:effectExtent l="0" t="0" r="0" b="0"/>
            <wp:docPr id="9" name="Chart 9">
              <a:extLst xmlns:a="http://schemas.openxmlformats.org/drawingml/2006/main">
                <a:ext uri="{FF2B5EF4-FFF2-40B4-BE49-F238E27FC236}">
                  <a16:creationId xmlns:a16="http://schemas.microsoft.com/office/drawing/2014/main" id="{150325CC-9F70-B022-4512-5663D34C59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91DF73F" w14:textId="77777777" w:rsidR="007B704B" w:rsidRPr="004C6F8E" w:rsidRDefault="007B704B" w:rsidP="007B704B">
      <w:pPr>
        <w:pStyle w:val="BodyText2"/>
        <w:rPr>
          <w:rFonts w:eastAsia="Calibri" w:cs="Arial"/>
          <w:b w:val="0"/>
          <w:sz w:val="20"/>
          <w:szCs w:val="20"/>
          <w:lang w:val="en-GB" w:bidi="fr-FR"/>
        </w:rPr>
      </w:pPr>
      <w:r w:rsidRPr="004C6F8E">
        <w:rPr>
          <w:rFonts w:eastAsia="Calibri" w:cs="Arial"/>
          <w:b w:val="0"/>
          <w:sz w:val="20"/>
          <w:szCs w:val="20"/>
          <w:lang w:val="en-GB" w:bidi="fr-FR"/>
        </w:rPr>
        <w:t>Source: IMF REO Sub Saharan Africa April 202</w:t>
      </w:r>
      <w:r>
        <w:rPr>
          <w:rFonts w:eastAsia="Calibri" w:cs="Arial"/>
          <w:b w:val="0"/>
          <w:sz w:val="20"/>
          <w:szCs w:val="20"/>
          <w:lang w:val="en-GB" w:bidi="fr-FR"/>
        </w:rPr>
        <w:t>2</w:t>
      </w:r>
    </w:p>
    <w:p w14:paraId="66757A6B" w14:textId="77777777" w:rsidR="007B704B" w:rsidRDefault="007B704B" w:rsidP="00AB55E9">
      <w:pPr>
        <w:jc w:val="both"/>
        <w:rPr>
          <w:rFonts w:ascii="Arial" w:hAnsi="Arial" w:cs="Arial"/>
          <w:bCs/>
          <w:lang w:val="en-US"/>
        </w:rPr>
      </w:pPr>
    </w:p>
    <w:p w14:paraId="31049604" w14:textId="77777777" w:rsidR="008F7AA0" w:rsidRDefault="008F7AA0" w:rsidP="008F7AA0">
      <w:pPr>
        <w:spacing w:after="120"/>
        <w:jc w:val="both"/>
        <w:rPr>
          <w:rFonts w:ascii="Arial" w:hAnsi="Arial" w:cs="Arial"/>
          <w:bCs/>
          <w:lang w:val="en-US"/>
        </w:rPr>
      </w:pPr>
      <w:r>
        <w:rPr>
          <w:rFonts w:ascii="Arial" w:hAnsi="Arial" w:cs="Arial"/>
          <w:bCs/>
          <w:lang w:val="en-US"/>
        </w:rPr>
        <w:t>G</w:t>
      </w:r>
      <w:r w:rsidRPr="00AB55E9">
        <w:rPr>
          <w:rFonts w:ascii="Arial" w:hAnsi="Arial" w:cs="Arial"/>
          <w:bCs/>
          <w:lang w:val="en-US"/>
        </w:rPr>
        <w:t xml:space="preserve">oing forward, </w:t>
      </w:r>
      <w:r>
        <w:rPr>
          <w:rFonts w:ascii="Arial" w:hAnsi="Arial" w:cs="Arial"/>
          <w:bCs/>
          <w:lang w:val="en-US"/>
        </w:rPr>
        <w:t xml:space="preserve">the </w:t>
      </w:r>
      <w:r w:rsidRPr="00AB55E9">
        <w:rPr>
          <w:rFonts w:ascii="Arial" w:hAnsi="Arial" w:cs="Arial"/>
          <w:bCs/>
          <w:lang w:val="en-US"/>
        </w:rPr>
        <w:t xml:space="preserve">crisis </w:t>
      </w:r>
      <w:r>
        <w:rPr>
          <w:rFonts w:ascii="Arial" w:hAnsi="Arial" w:cs="Arial"/>
          <w:bCs/>
          <w:lang w:val="en-US"/>
        </w:rPr>
        <w:t xml:space="preserve">due to the pandemics and the geo-political tensions </w:t>
      </w:r>
      <w:r w:rsidRPr="00AB55E9">
        <w:rPr>
          <w:rFonts w:ascii="Arial" w:hAnsi="Arial" w:cs="Arial"/>
          <w:bCs/>
          <w:lang w:val="en-US"/>
        </w:rPr>
        <w:t xml:space="preserve">will likely reshape global value chains, bringing challenges but also opportunities for </w:t>
      </w:r>
      <w:r>
        <w:rPr>
          <w:rFonts w:ascii="Arial" w:hAnsi="Arial" w:cs="Arial"/>
          <w:bCs/>
          <w:lang w:val="en-US"/>
        </w:rPr>
        <w:t xml:space="preserve">the COMESA region and </w:t>
      </w:r>
      <w:r w:rsidRPr="00AB55E9">
        <w:rPr>
          <w:rFonts w:ascii="Arial" w:hAnsi="Arial" w:cs="Arial"/>
          <w:bCs/>
          <w:lang w:val="en-US"/>
        </w:rPr>
        <w:t>Africa</w:t>
      </w:r>
      <w:r>
        <w:rPr>
          <w:rFonts w:ascii="Arial" w:hAnsi="Arial" w:cs="Arial"/>
          <w:bCs/>
          <w:lang w:val="en-US"/>
        </w:rPr>
        <w:t xml:space="preserve"> at large</w:t>
      </w:r>
      <w:r w:rsidRPr="00AB55E9">
        <w:rPr>
          <w:rFonts w:ascii="Arial" w:hAnsi="Arial" w:cs="Arial"/>
          <w:bCs/>
          <w:lang w:val="en-US"/>
        </w:rPr>
        <w:t xml:space="preserve">. Strengthening continental value chains should be a priority given the uncertain global business environment. As the private sector advances its digital transition, it is important for the </w:t>
      </w:r>
      <w:r w:rsidRPr="00AB55E9">
        <w:rPr>
          <w:rFonts w:ascii="Arial" w:hAnsi="Arial" w:cs="Arial"/>
          <w:bCs/>
          <w:lang w:val="en-US"/>
        </w:rPr>
        <w:lastRenderedPageBreak/>
        <w:t xml:space="preserve">continent to invest in enhancing essential telecommunication infrastructure, including fiber optics and high-speed Internet, as well as to complete the regulatory (e-commerce) agenda for digital transition. This will be essential for the emergence and expansion of 21st century value chains in the region. In the medium-long term, the effective implementation of regional integration agenda of the Regional Economic Communities and the </w:t>
      </w:r>
      <w:proofErr w:type="spellStart"/>
      <w:r w:rsidRPr="00AB55E9">
        <w:rPr>
          <w:rFonts w:ascii="Arial" w:hAnsi="Arial" w:cs="Arial"/>
          <w:bCs/>
          <w:lang w:val="en-US"/>
        </w:rPr>
        <w:t>AfCFTA</w:t>
      </w:r>
      <w:proofErr w:type="spellEnd"/>
      <w:r w:rsidRPr="00AB55E9">
        <w:rPr>
          <w:rFonts w:ascii="Arial" w:hAnsi="Arial" w:cs="Arial"/>
          <w:bCs/>
          <w:lang w:val="en-US"/>
        </w:rPr>
        <w:t xml:space="preserve"> will be key to strengthen</w:t>
      </w:r>
      <w:r>
        <w:rPr>
          <w:rFonts w:ascii="Arial" w:hAnsi="Arial" w:cs="Arial"/>
          <w:bCs/>
          <w:lang w:val="en-US"/>
        </w:rPr>
        <w:t>ing</w:t>
      </w:r>
      <w:r w:rsidRPr="00AB55E9">
        <w:rPr>
          <w:rFonts w:ascii="Arial" w:hAnsi="Arial" w:cs="Arial"/>
          <w:bCs/>
          <w:lang w:val="en-US"/>
        </w:rPr>
        <w:t xml:space="preserve"> regional production networks and trade, reduce the continent’s vulnerability to external shocks, and consequently lead to improvements in external current account balances.</w:t>
      </w:r>
    </w:p>
    <w:p w14:paraId="34A73B79" w14:textId="77777777" w:rsidR="008F7AA0" w:rsidRDefault="008F7AA0" w:rsidP="008F7AA0">
      <w:pPr>
        <w:spacing w:after="120"/>
        <w:jc w:val="both"/>
        <w:rPr>
          <w:rFonts w:ascii="Arial" w:hAnsi="Arial" w:cs="Arial"/>
          <w:bCs/>
          <w:lang w:val="en-US"/>
        </w:rPr>
      </w:pPr>
    </w:p>
    <w:p w14:paraId="06966EC1" w14:textId="77777777" w:rsidR="00F653CB" w:rsidRPr="00833A6C" w:rsidRDefault="00B14CAE" w:rsidP="008E14D5">
      <w:pPr>
        <w:pStyle w:val="Heading1"/>
        <w:numPr>
          <w:ilvl w:val="0"/>
          <w:numId w:val="10"/>
        </w:numPr>
        <w:spacing w:before="0" w:after="120" w:line="276" w:lineRule="auto"/>
        <w:rPr>
          <w:rFonts w:ascii="Arial" w:hAnsi="Arial" w:cs="Arial"/>
          <w:sz w:val="22"/>
          <w:szCs w:val="22"/>
        </w:rPr>
      </w:pPr>
      <w:bookmarkStart w:id="31" w:name="_Toc505769859"/>
      <w:bookmarkStart w:id="32" w:name="_Toc70943221"/>
      <w:r w:rsidRPr="00833A6C">
        <w:rPr>
          <w:rFonts w:ascii="Arial" w:hAnsi="Arial" w:cs="Arial"/>
          <w:sz w:val="22"/>
          <w:szCs w:val="22"/>
        </w:rPr>
        <w:t>Reserve Accumulation</w:t>
      </w:r>
      <w:bookmarkEnd w:id="31"/>
      <w:bookmarkEnd w:id="32"/>
    </w:p>
    <w:p w14:paraId="54238601" w14:textId="77777777" w:rsidR="000B38CC" w:rsidRPr="00BA6D6E" w:rsidRDefault="000B38CC" w:rsidP="000B38CC">
      <w:pPr>
        <w:pStyle w:val="NoSpacing"/>
        <w:ind w:left="630"/>
        <w:jc w:val="both"/>
        <w:rPr>
          <w:rFonts w:eastAsia="Times New Roman"/>
          <w:b/>
          <w:kern w:val="32"/>
          <w:lang w:val="en-US" w:eastAsia="x-none" w:bidi="ar-SA"/>
        </w:rPr>
      </w:pPr>
    </w:p>
    <w:p w14:paraId="5DB6CB2B" w14:textId="77777777" w:rsidR="0016124F" w:rsidRDefault="00E33926" w:rsidP="00A705E7">
      <w:pPr>
        <w:jc w:val="both"/>
        <w:rPr>
          <w:rFonts w:ascii="Arial" w:hAnsi="Arial" w:cs="Arial"/>
          <w:lang w:val="en-US"/>
        </w:rPr>
      </w:pPr>
      <w:bookmarkStart w:id="33" w:name="_Hlk87519829"/>
      <w:r w:rsidRPr="00AC649E">
        <w:rPr>
          <w:rFonts w:ascii="Arial" w:hAnsi="Arial" w:cs="Arial"/>
          <w:lang w:val="en-US"/>
        </w:rPr>
        <w:t>Adequate reserves help countries better manage their economies and respond to external shocks, while appropriate reserve management is essential for minimizing the opportunity cost of holding reserves and maximizing returns.</w:t>
      </w:r>
      <w:r>
        <w:rPr>
          <w:rFonts w:ascii="Arial" w:hAnsi="Arial" w:cs="Arial"/>
          <w:lang w:val="en-US"/>
        </w:rPr>
        <w:t xml:space="preserve"> </w:t>
      </w:r>
    </w:p>
    <w:p w14:paraId="00EB8772" w14:textId="3A489C18" w:rsidR="0043343C" w:rsidRDefault="00AD435E" w:rsidP="00A705E7">
      <w:pPr>
        <w:jc w:val="both"/>
        <w:rPr>
          <w:rFonts w:ascii="Arial" w:hAnsi="Arial" w:cs="Arial"/>
          <w:lang w:val="en-US"/>
        </w:rPr>
      </w:pPr>
      <w:r w:rsidRPr="001E6D9F">
        <w:rPr>
          <w:rFonts w:ascii="Arial" w:hAnsi="Arial" w:cs="Arial"/>
          <w:lang w:val="en-US"/>
        </w:rPr>
        <w:t xml:space="preserve">The </w:t>
      </w:r>
      <w:r w:rsidR="001E6D9F" w:rsidRPr="001E6D9F">
        <w:rPr>
          <w:rFonts w:ascii="Arial" w:hAnsi="Arial" w:cs="Arial"/>
          <w:lang w:val="en-US"/>
        </w:rPr>
        <w:t xml:space="preserve">COMESA region </w:t>
      </w:r>
      <w:r w:rsidRPr="001E6D9F">
        <w:rPr>
          <w:rFonts w:ascii="Arial" w:hAnsi="Arial" w:cs="Arial"/>
          <w:lang w:val="en-US"/>
        </w:rPr>
        <w:t xml:space="preserve">external reserve </w:t>
      </w:r>
      <w:r w:rsidR="001E6D9F">
        <w:rPr>
          <w:rFonts w:ascii="Arial" w:hAnsi="Arial" w:cs="Arial"/>
          <w:lang w:val="en-US"/>
        </w:rPr>
        <w:t xml:space="preserve">cover </w:t>
      </w:r>
      <w:r w:rsidR="00AC649E">
        <w:rPr>
          <w:rFonts w:ascii="Arial" w:hAnsi="Arial" w:cs="Arial"/>
          <w:lang w:val="en-US"/>
        </w:rPr>
        <w:t xml:space="preserve">dropped further to an </w:t>
      </w:r>
      <w:r w:rsidR="001E6D9F">
        <w:rPr>
          <w:rFonts w:ascii="Arial" w:hAnsi="Arial" w:cs="Arial"/>
          <w:lang w:val="en-US"/>
        </w:rPr>
        <w:t>average</w:t>
      </w:r>
      <w:r w:rsidR="00AC649E">
        <w:rPr>
          <w:rFonts w:ascii="Arial" w:hAnsi="Arial" w:cs="Arial"/>
          <w:lang w:val="en-US"/>
        </w:rPr>
        <w:t xml:space="preserve"> of</w:t>
      </w:r>
      <w:r w:rsidR="001E6D9F">
        <w:rPr>
          <w:rFonts w:ascii="Arial" w:hAnsi="Arial" w:cs="Arial"/>
          <w:lang w:val="en-US"/>
        </w:rPr>
        <w:t xml:space="preserve"> </w:t>
      </w:r>
      <w:r w:rsidRPr="001E6D9F">
        <w:rPr>
          <w:rFonts w:ascii="Arial" w:hAnsi="Arial" w:cs="Arial"/>
          <w:lang w:val="en-US"/>
        </w:rPr>
        <w:t>3.</w:t>
      </w:r>
      <w:r w:rsidR="00AC649E">
        <w:rPr>
          <w:rFonts w:ascii="Arial" w:hAnsi="Arial" w:cs="Arial"/>
          <w:lang w:val="en-US"/>
        </w:rPr>
        <w:t>0</w:t>
      </w:r>
      <w:r w:rsidR="001E6D9F">
        <w:rPr>
          <w:rFonts w:ascii="Arial" w:hAnsi="Arial" w:cs="Arial"/>
          <w:lang w:val="en-US"/>
        </w:rPr>
        <w:t xml:space="preserve"> in month of imports of goods and services, down from </w:t>
      </w:r>
      <w:r w:rsidR="00AC649E">
        <w:rPr>
          <w:rFonts w:ascii="Arial" w:hAnsi="Arial" w:cs="Arial"/>
          <w:lang w:val="en-US"/>
        </w:rPr>
        <w:t xml:space="preserve">3.1 and </w:t>
      </w:r>
      <w:r w:rsidR="009E6BEE" w:rsidRPr="001E6D9F">
        <w:rPr>
          <w:rFonts w:ascii="Arial" w:hAnsi="Arial" w:cs="Arial"/>
          <w:lang w:val="en-US"/>
        </w:rPr>
        <w:t>3.</w:t>
      </w:r>
      <w:r w:rsidR="001E6D9F">
        <w:rPr>
          <w:rFonts w:ascii="Arial" w:hAnsi="Arial" w:cs="Arial"/>
          <w:lang w:val="en-US"/>
        </w:rPr>
        <w:t xml:space="preserve">9 </w:t>
      </w:r>
      <w:r w:rsidR="009E6BEE" w:rsidRPr="001E6D9F">
        <w:rPr>
          <w:rFonts w:ascii="Arial" w:hAnsi="Arial" w:cs="Arial"/>
          <w:lang w:val="en-US"/>
        </w:rPr>
        <w:t>months of import of good and services in</w:t>
      </w:r>
      <w:r w:rsidR="00AC649E">
        <w:rPr>
          <w:rFonts w:ascii="Arial" w:hAnsi="Arial" w:cs="Arial"/>
          <w:lang w:val="en-US"/>
        </w:rPr>
        <w:t xml:space="preserve"> 2020 and </w:t>
      </w:r>
      <w:r w:rsidR="009E6BEE" w:rsidRPr="001E6D9F">
        <w:rPr>
          <w:rFonts w:ascii="Arial" w:hAnsi="Arial" w:cs="Arial"/>
          <w:lang w:val="en-US"/>
        </w:rPr>
        <w:t>201</w:t>
      </w:r>
      <w:r w:rsidR="001E6D9F">
        <w:rPr>
          <w:rFonts w:ascii="Arial" w:hAnsi="Arial" w:cs="Arial"/>
          <w:lang w:val="en-US"/>
        </w:rPr>
        <w:t>9</w:t>
      </w:r>
      <w:r w:rsidR="00AC649E">
        <w:rPr>
          <w:rFonts w:ascii="Arial" w:hAnsi="Arial" w:cs="Arial"/>
          <w:lang w:val="en-US"/>
        </w:rPr>
        <w:t>, respectively</w:t>
      </w:r>
      <w:r w:rsidR="00692473" w:rsidRPr="001E6D9F">
        <w:rPr>
          <w:rFonts w:ascii="Arial" w:hAnsi="Arial" w:cs="Arial"/>
          <w:lang w:val="en-US"/>
        </w:rPr>
        <w:t xml:space="preserve"> </w:t>
      </w:r>
      <w:bookmarkEnd w:id="33"/>
      <w:r w:rsidR="00692473" w:rsidRPr="001E6D9F">
        <w:rPr>
          <w:rFonts w:ascii="Arial" w:hAnsi="Arial" w:cs="Arial"/>
          <w:lang w:val="en-US"/>
        </w:rPr>
        <w:t>(</w:t>
      </w:r>
      <w:r w:rsidR="008F7AA0">
        <w:rPr>
          <w:rFonts w:ascii="Arial" w:hAnsi="Arial" w:cs="Arial"/>
          <w:b/>
          <w:lang w:val="en-US"/>
        </w:rPr>
        <w:t>Figure 6</w:t>
      </w:r>
      <w:r w:rsidR="00692473" w:rsidRPr="001E6D9F">
        <w:rPr>
          <w:rFonts w:ascii="Arial" w:hAnsi="Arial" w:cs="Arial"/>
          <w:lang w:val="en-US"/>
        </w:rPr>
        <w:t>)</w:t>
      </w:r>
      <w:r w:rsidR="009E6BEE" w:rsidRPr="001E6D9F">
        <w:rPr>
          <w:rFonts w:ascii="Arial" w:hAnsi="Arial" w:cs="Arial"/>
          <w:lang w:val="en-US"/>
        </w:rPr>
        <w:t xml:space="preserve">. </w:t>
      </w:r>
      <w:r w:rsidR="00E33926">
        <w:rPr>
          <w:rFonts w:ascii="Arial" w:hAnsi="Arial" w:cs="Arial"/>
          <w:lang w:val="en-US"/>
        </w:rPr>
        <w:t>T</w:t>
      </w:r>
      <w:r w:rsidR="00A705E7">
        <w:rPr>
          <w:rFonts w:ascii="Arial" w:hAnsi="Arial" w:cs="Arial"/>
          <w:lang w:val="en-US"/>
        </w:rPr>
        <w:t>he dip in</w:t>
      </w:r>
      <w:r w:rsidR="007B1F7D">
        <w:rPr>
          <w:rFonts w:ascii="Arial" w:hAnsi="Arial" w:cs="Arial"/>
          <w:lang w:val="en-US"/>
        </w:rPr>
        <w:t xml:space="preserve"> external reserves </w:t>
      </w:r>
      <w:bookmarkStart w:id="34" w:name="_Hlk87520183"/>
      <w:r w:rsidR="00FD3522">
        <w:rPr>
          <w:rFonts w:ascii="Arial" w:hAnsi="Arial" w:cs="Arial"/>
          <w:lang w:val="en-US"/>
        </w:rPr>
        <w:t xml:space="preserve">in </w:t>
      </w:r>
      <w:r w:rsidR="00A705E7">
        <w:rPr>
          <w:rFonts w:ascii="Arial" w:hAnsi="Arial" w:cs="Arial"/>
          <w:lang w:val="en-US"/>
        </w:rPr>
        <w:t xml:space="preserve">months of imports of goods and services </w:t>
      </w:r>
      <w:bookmarkEnd w:id="34"/>
      <w:r w:rsidR="00A705E7">
        <w:rPr>
          <w:rFonts w:ascii="Arial" w:hAnsi="Arial" w:cs="Arial"/>
          <w:lang w:val="en-US"/>
        </w:rPr>
        <w:t xml:space="preserve">during the year under review reflects considerable pressure </w:t>
      </w:r>
      <w:bookmarkStart w:id="35" w:name="_Hlk87520107"/>
      <w:r w:rsidR="00A705E7">
        <w:rPr>
          <w:rFonts w:ascii="Arial" w:hAnsi="Arial" w:cs="Arial"/>
          <w:lang w:val="en-US"/>
        </w:rPr>
        <w:t xml:space="preserve">to </w:t>
      </w:r>
      <w:r w:rsidR="00A705E7" w:rsidRPr="001E6D9F">
        <w:rPr>
          <w:rFonts w:ascii="Arial" w:hAnsi="Arial" w:cs="Arial"/>
          <w:lang w:val="en-US"/>
        </w:rPr>
        <w:t>provi</w:t>
      </w:r>
      <w:r w:rsidR="00A705E7">
        <w:rPr>
          <w:rFonts w:ascii="Arial" w:hAnsi="Arial" w:cs="Arial"/>
          <w:lang w:val="en-US"/>
        </w:rPr>
        <w:t xml:space="preserve">de for </w:t>
      </w:r>
      <w:r w:rsidR="00A705E7" w:rsidRPr="001E6D9F">
        <w:rPr>
          <w:rFonts w:ascii="Arial" w:hAnsi="Arial" w:cs="Arial"/>
          <w:lang w:val="en-US"/>
        </w:rPr>
        <w:t>foreign exchange to</w:t>
      </w:r>
      <w:r w:rsidR="00A705E7">
        <w:rPr>
          <w:rFonts w:ascii="Arial" w:hAnsi="Arial" w:cs="Arial"/>
          <w:lang w:val="en-US"/>
        </w:rPr>
        <w:t xml:space="preserve"> smooth disruptive volatility in the exchange rate </w:t>
      </w:r>
      <w:r w:rsidR="00A705E7" w:rsidRPr="001E6D9F">
        <w:rPr>
          <w:rFonts w:ascii="Arial" w:hAnsi="Arial" w:cs="Arial"/>
          <w:lang w:val="en-US"/>
        </w:rPr>
        <w:t xml:space="preserve">and </w:t>
      </w:r>
      <w:r w:rsidR="00A705E7">
        <w:rPr>
          <w:rFonts w:ascii="Arial" w:hAnsi="Arial" w:cs="Arial"/>
          <w:lang w:val="en-US"/>
        </w:rPr>
        <w:t>support</w:t>
      </w:r>
      <w:r w:rsidR="00FD3522">
        <w:rPr>
          <w:rFonts w:ascii="Arial" w:hAnsi="Arial" w:cs="Arial"/>
          <w:lang w:val="en-US"/>
        </w:rPr>
        <w:t>ing</w:t>
      </w:r>
      <w:r w:rsidR="00A705E7">
        <w:rPr>
          <w:rFonts w:ascii="Arial" w:hAnsi="Arial" w:cs="Arial"/>
          <w:lang w:val="en-US"/>
        </w:rPr>
        <w:t xml:space="preserve"> </w:t>
      </w:r>
      <w:r w:rsidR="00E33926">
        <w:rPr>
          <w:rFonts w:ascii="Arial" w:hAnsi="Arial" w:cs="Arial"/>
          <w:lang w:val="en-US"/>
        </w:rPr>
        <w:t xml:space="preserve">oil and </w:t>
      </w:r>
      <w:r w:rsidR="00A705E7">
        <w:rPr>
          <w:rFonts w:ascii="Arial" w:hAnsi="Arial" w:cs="Arial"/>
          <w:lang w:val="en-US"/>
        </w:rPr>
        <w:t xml:space="preserve">food </w:t>
      </w:r>
      <w:r w:rsidR="00A705E7" w:rsidRPr="001E6D9F">
        <w:rPr>
          <w:rFonts w:ascii="Arial" w:hAnsi="Arial" w:cs="Arial"/>
          <w:lang w:val="en-US"/>
        </w:rPr>
        <w:t>import</w:t>
      </w:r>
      <w:r w:rsidR="00A705E7">
        <w:rPr>
          <w:rFonts w:ascii="Arial" w:hAnsi="Arial" w:cs="Arial"/>
          <w:lang w:val="en-US"/>
        </w:rPr>
        <w:t>s</w:t>
      </w:r>
      <w:r w:rsidR="00A705E7" w:rsidRPr="001E6D9F">
        <w:rPr>
          <w:rFonts w:ascii="Arial" w:hAnsi="Arial" w:cs="Arial"/>
          <w:lang w:val="en-US"/>
        </w:rPr>
        <w:t xml:space="preserve"> </w:t>
      </w:r>
      <w:r w:rsidR="00E33926">
        <w:rPr>
          <w:rFonts w:ascii="Arial" w:hAnsi="Arial" w:cs="Arial"/>
          <w:lang w:val="en-US"/>
        </w:rPr>
        <w:t xml:space="preserve">particularly for commodity importing </w:t>
      </w:r>
      <w:r w:rsidR="00A705E7" w:rsidRPr="001E6D9F">
        <w:rPr>
          <w:rFonts w:ascii="Arial" w:hAnsi="Arial" w:cs="Arial"/>
          <w:lang w:val="en-US"/>
        </w:rPr>
        <w:t>economies</w:t>
      </w:r>
      <w:r w:rsidR="00A705E7">
        <w:rPr>
          <w:rFonts w:ascii="Arial" w:hAnsi="Arial" w:cs="Arial"/>
          <w:lang w:val="en-US"/>
        </w:rPr>
        <w:t xml:space="preserve"> of the region</w:t>
      </w:r>
      <w:bookmarkEnd w:id="35"/>
      <w:r w:rsidR="00FD3522">
        <w:rPr>
          <w:rFonts w:ascii="Arial" w:hAnsi="Arial" w:cs="Arial"/>
          <w:lang w:val="en-US"/>
        </w:rPr>
        <w:t>.</w:t>
      </w:r>
      <w:r w:rsidR="00A705E7">
        <w:rPr>
          <w:rFonts w:ascii="Arial" w:hAnsi="Arial" w:cs="Arial"/>
          <w:lang w:val="en-US"/>
        </w:rPr>
        <w:t xml:space="preserve"> </w:t>
      </w:r>
    </w:p>
    <w:p w14:paraId="31AB98C6" w14:textId="45DDFDFD" w:rsidR="0043343C" w:rsidRPr="0043343C" w:rsidRDefault="00A705E7" w:rsidP="0043343C">
      <w:pPr>
        <w:jc w:val="both"/>
        <w:rPr>
          <w:rFonts w:ascii="Arial" w:hAnsi="Arial" w:cs="Arial"/>
          <w:lang w:val="en-US"/>
        </w:rPr>
      </w:pPr>
      <w:r w:rsidRPr="001E6D9F">
        <w:rPr>
          <w:rFonts w:ascii="Arial" w:hAnsi="Arial" w:cs="Arial"/>
          <w:lang w:val="en-US"/>
        </w:rPr>
        <w:t xml:space="preserve">Albeit low, the </w:t>
      </w:r>
      <w:r>
        <w:rPr>
          <w:rFonts w:ascii="Arial" w:hAnsi="Arial" w:cs="Arial"/>
          <w:lang w:val="en-US"/>
        </w:rPr>
        <w:t xml:space="preserve">average of 3 months of future imports of goods and services reserve cover over the last </w:t>
      </w:r>
      <w:r w:rsidR="0043343C">
        <w:rPr>
          <w:rFonts w:ascii="Arial" w:hAnsi="Arial" w:cs="Arial"/>
          <w:lang w:val="en-US"/>
        </w:rPr>
        <w:t xml:space="preserve">three </w:t>
      </w:r>
      <w:r>
        <w:rPr>
          <w:rFonts w:ascii="Arial" w:hAnsi="Arial" w:cs="Arial"/>
          <w:lang w:val="en-US"/>
        </w:rPr>
        <w:t xml:space="preserve">consecutive years is </w:t>
      </w:r>
      <w:r w:rsidR="0043343C">
        <w:rPr>
          <w:rFonts w:ascii="Arial" w:hAnsi="Arial" w:cs="Arial"/>
          <w:lang w:val="en-US"/>
        </w:rPr>
        <w:t xml:space="preserve">well within the standard import-cover benchmark for the </w:t>
      </w:r>
      <w:r w:rsidR="00E42637" w:rsidRPr="0043343C">
        <w:rPr>
          <w:rFonts w:ascii="Arial" w:hAnsi="Arial" w:cs="Arial"/>
          <w:lang w:val="en-US"/>
        </w:rPr>
        <w:t>COMESA macroeconomic Convergence Criteria of External Reserves of equal to or more than 3 months</w:t>
      </w:r>
      <w:r w:rsidR="00E42637">
        <w:rPr>
          <w:rFonts w:ascii="Arial" w:hAnsi="Arial" w:cs="Arial"/>
          <w:lang w:val="en-US"/>
        </w:rPr>
        <w:t>. As per the data beforehand, e</w:t>
      </w:r>
      <w:r w:rsidR="0043343C" w:rsidRPr="0043343C">
        <w:rPr>
          <w:rFonts w:ascii="Arial" w:hAnsi="Arial" w:cs="Arial"/>
          <w:lang w:val="en-US"/>
        </w:rPr>
        <w:t xml:space="preserve">leven (11) COMESA member countries namely, Comoros, Egypt, Eswatini, Kenya, Madagascar, Mauritius, Rwanda, Seychelles, </w:t>
      </w:r>
      <w:r w:rsidR="00E42637">
        <w:rPr>
          <w:rFonts w:ascii="Arial" w:hAnsi="Arial" w:cs="Arial"/>
          <w:lang w:val="en-US"/>
        </w:rPr>
        <w:t xml:space="preserve">Sudan, Tunisia and </w:t>
      </w:r>
      <w:r w:rsidR="0043343C" w:rsidRPr="0043343C">
        <w:rPr>
          <w:rFonts w:ascii="Arial" w:hAnsi="Arial" w:cs="Arial"/>
          <w:lang w:val="en-US"/>
        </w:rPr>
        <w:t xml:space="preserve">Uganda </w:t>
      </w:r>
      <w:r w:rsidR="0016124F">
        <w:rPr>
          <w:rFonts w:ascii="Arial" w:hAnsi="Arial" w:cs="Arial"/>
          <w:lang w:val="en-US"/>
        </w:rPr>
        <w:t xml:space="preserve">met the threshold on </w:t>
      </w:r>
      <w:r w:rsidR="00E42637">
        <w:rPr>
          <w:rFonts w:ascii="Arial" w:hAnsi="Arial" w:cs="Arial"/>
          <w:lang w:val="en-US"/>
        </w:rPr>
        <w:t xml:space="preserve">reserves in </w:t>
      </w:r>
      <w:r w:rsidR="0043343C" w:rsidRPr="0043343C">
        <w:rPr>
          <w:rFonts w:ascii="Arial" w:hAnsi="Arial" w:cs="Arial"/>
          <w:lang w:val="en-US"/>
        </w:rPr>
        <w:t>months of imports of goods and services</w:t>
      </w:r>
      <w:r w:rsidR="00EB3CDB">
        <w:rPr>
          <w:rFonts w:ascii="Arial" w:hAnsi="Arial" w:cs="Arial"/>
          <w:lang w:val="en-US"/>
        </w:rPr>
        <w:t xml:space="preserve"> cover</w:t>
      </w:r>
      <w:r w:rsidR="0043343C" w:rsidRPr="0043343C">
        <w:rPr>
          <w:rFonts w:ascii="Arial" w:hAnsi="Arial" w:cs="Arial"/>
          <w:lang w:val="en-US"/>
        </w:rPr>
        <w:t xml:space="preserve">.  </w:t>
      </w:r>
    </w:p>
    <w:p w14:paraId="4EA70B26" w14:textId="1C23F279" w:rsidR="00C54E9A" w:rsidRPr="001E6D9F" w:rsidRDefault="00C54E9A" w:rsidP="00C54E9A">
      <w:pPr>
        <w:pStyle w:val="Caption"/>
        <w:spacing w:after="0"/>
        <w:rPr>
          <w:rFonts w:ascii="Arial" w:hAnsi="Arial" w:cs="Arial"/>
          <w:i w:val="0"/>
          <w:iCs w:val="0"/>
          <w:color w:val="auto"/>
          <w:sz w:val="22"/>
          <w:szCs w:val="22"/>
          <w:lang w:val="en-US"/>
        </w:rPr>
      </w:pPr>
      <w:r w:rsidRPr="001E6D9F">
        <w:rPr>
          <w:rFonts w:ascii="Arial" w:hAnsi="Arial" w:cs="Arial"/>
          <w:i w:val="0"/>
          <w:iCs w:val="0"/>
          <w:color w:val="auto"/>
          <w:sz w:val="22"/>
          <w:szCs w:val="22"/>
          <w:lang w:val="en-US"/>
        </w:rPr>
        <w:t xml:space="preserve">Figure </w:t>
      </w:r>
      <w:r w:rsidRPr="001E6D9F">
        <w:rPr>
          <w:rFonts w:ascii="Arial" w:hAnsi="Arial" w:cs="Arial"/>
          <w:i w:val="0"/>
          <w:iCs w:val="0"/>
          <w:color w:val="auto"/>
          <w:sz w:val="22"/>
          <w:szCs w:val="22"/>
          <w:lang w:val="en-US"/>
        </w:rPr>
        <w:fldChar w:fldCharType="begin"/>
      </w:r>
      <w:r w:rsidRPr="001E6D9F">
        <w:rPr>
          <w:rFonts w:ascii="Arial" w:hAnsi="Arial" w:cs="Arial"/>
          <w:i w:val="0"/>
          <w:iCs w:val="0"/>
          <w:color w:val="auto"/>
          <w:sz w:val="22"/>
          <w:szCs w:val="22"/>
          <w:lang w:val="en-US"/>
        </w:rPr>
        <w:instrText xml:space="preserve"> SEQ Figure \* ARABIC </w:instrText>
      </w:r>
      <w:r w:rsidRPr="001E6D9F">
        <w:rPr>
          <w:rFonts w:ascii="Arial" w:hAnsi="Arial" w:cs="Arial"/>
          <w:i w:val="0"/>
          <w:iCs w:val="0"/>
          <w:color w:val="auto"/>
          <w:sz w:val="22"/>
          <w:szCs w:val="22"/>
          <w:lang w:val="en-US"/>
        </w:rPr>
        <w:fldChar w:fldCharType="separate"/>
      </w:r>
      <w:r w:rsidR="00D32533">
        <w:rPr>
          <w:rFonts w:ascii="Arial" w:hAnsi="Arial" w:cs="Arial"/>
          <w:i w:val="0"/>
          <w:iCs w:val="0"/>
          <w:noProof/>
          <w:color w:val="auto"/>
          <w:sz w:val="22"/>
          <w:szCs w:val="22"/>
          <w:lang w:val="en-US"/>
        </w:rPr>
        <w:t>6</w:t>
      </w:r>
      <w:r w:rsidRPr="001E6D9F">
        <w:rPr>
          <w:rFonts w:ascii="Arial" w:hAnsi="Arial" w:cs="Arial"/>
          <w:i w:val="0"/>
          <w:iCs w:val="0"/>
          <w:color w:val="auto"/>
          <w:sz w:val="22"/>
          <w:szCs w:val="22"/>
          <w:lang w:val="en-US"/>
        </w:rPr>
        <w:fldChar w:fldCharType="end"/>
      </w:r>
      <w:r w:rsidRPr="001E6D9F">
        <w:rPr>
          <w:rFonts w:ascii="Arial" w:hAnsi="Arial" w:cs="Arial"/>
          <w:i w:val="0"/>
          <w:iCs w:val="0"/>
          <w:color w:val="auto"/>
          <w:sz w:val="22"/>
          <w:szCs w:val="22"/>
          <w:lang w:val="en-US"/>
        </w:rPr>
        <w:t xml:space="preserve">: COMESA </w:t>
      </w:r>
      <w:r>
        <w:rPr>
          <w:rFonts w:ascii="Arial" w:hAnsi="Arial" w:cs="Arial"/>
          <w:i w:val="0"/>
          <w:iCs w:val="0"/>
          <w:color w:val="auto"/>
          <w:sz w:val="22"/>
          <w:szCs w:val="22"/>
          <w:lang w:val="en-US"/>
        </w:rPr>
        <w:t>a</w:t>
      </w:r>
      <w:r w:rsidRPr="001E6D9F">
        <w:rPr>
          <w:rFonts w:ascii="Arial" w:hAnsi="Arial" w:cs="Arial"/>
          <w:i w:val="0"/>
          <w:iCs w:val="0"/>
          <w:color w:val="auto"/>
          <w:sz w:val="22"/>
          <w:szCs w:val="22"/>
          <w:lang w:val="en-US"/>
        </w:rPr>
        <w:t>verage Reserves (Months of imports of goods and services</w:t>
      </w:r>
      <w:r>
        <w:rPr>
          <w:rFonts w:ascii="Arial" w:hAnsi="Arial" w:cs="Arial"/>
          <w:i w:val="0"/>
          <w:iCs w:val="0"/>
          <w:color w:val="auto"/>
          <w:sz w:val="22"/>
          <w:szCs w:val="22"/>
          <w:lang w:val="en-US"/>
        </w:rPr>
        <w:t xml:space="preserve"> cover</w:t>
      </w:r>
      <w:r w:rsidRPr="001E6D9F">
        <w:rPr>
          <w:rFonts w:ascii="Arial" w:hAnsi="Arial" w:cs="Arial"/>
          <w:i w:val="0"/>
          <w:iCs w:val="0"/>
          <w:color w:val="auto"/>
          <w:sz w:val="22"/>
          <w:szCs w:val="22"/>
          <w:lang w:val="en-US"/>
        </w:rPr>
        <w:t>)</w:t>
      </w:r>
    </w:p>
    <w:p w14:paraId="796385FF" w14:textId="68996D43" w:rsidR="00C54E9A" w:rsidRPr="00B6509D" w:rsidRDefault="00AE1B1B" w:rsidP="00C54E9A">
      <w:pPr>
        <w:pStyle w:val="NoSpacing"/>
        <w:rPr>
          <w:b/>
          <w:lang w:val="en-US"/>
        </w:rPr>
      </w:pPr>
      <w:r>
        <w:rPr>
          <w:noProof/>
          <w:lang w:val="en-US" w:eastAsia="en-US" w:bidi="ar-SA"/>
        </w:rPr>
        <w:drawing>
          <wp:inline distT="0" distB="0" distL="0" distR="0" wp14:anchorId="61019C1F" wp14:editId="6B724F17">
            <wp:extent cx="5305425" cy="2143125"/>
            <wp:effectExtent l="0" t="0" r="0" b="0"/>
            <wp:docPr id="10" name="Chart 10">
              <a:extLst xmlns:a="http://schemas.openxmlformats.org/drawingml/2006/main">
                <a:ext uri="{FF2B5EF4-FFF2-40B4-BE49-F238E27FC236}">
                  <a16:creationId xmlns:a16="http://schemas.microsoft.com/office/drawing/2014/main" id="{D8A8217F-93FF-2B83-9068-BCD9EB2E8F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A1875A1" w14:textId="63E1315F" w:rsidR="00C54E9A" w:rsidRDefault="00C54E9A" w:rsidP="00C54E9A">
      <w:pPr>
        <w:pStyle w:val="BodyText2"/>
        <w:rPr>
          <w:rFonts w:eastAsia="Calibri" w:cs="Arial"/>
          <w:b w:val="0"/>
          <w:sz w:val="20"/>
          <w:szCs w:val="20"/>
          <w:lang w:val="en-GB" w:bidi="fr-FR"/>
        </w:rPr>
      </w:pPr>
      <w:r w:rsidRPr="004C6F8E">
        <w:rPr>
          <w:rFonts w:eastAsia="Calibri" w:cs="Arial"/>
          <w:b w:val="0"/>
          <w:sz w:val="20"/>
          <w:szCs w:val="20"/>
          <w:lang w:val="en-GB" w:bidi="fr-FR"/>
        </w:rPr>
        <w:t>Source: IMF REO Sub Saharan Africa April 202</w:t>
      </w:r>
      <w:r w:rsidR="00AE1B1B">
        <w:rPr>
          <w:rFonts w:eastAsia="Calibri" w:cs="Arial"/>
          <w:b w:val="0"/>
          <w:sz w:val="20"/>
          <w:szCs w:val="20"/>
          <w:lang w:val="en-GB" w:bidi="fr-FR"/>
        </w:rPr>
        <w:t>2</w:t>
      </w:r>
    </w:p>
    <w:p w14:paraId="75869A1F" w14:textId="77777777" w:rsidR="008F7AA0" w:rsidRDefault="008F7AA0" w:rsidP="00C54E9A">
      <w:pPr>
        <w:pStyle w:val="BodyText2"/>
        <w:rPr>
          <w:rFonts w:eastAsia="Calibri" w:cs="Arial"/>
          <w:b w:val="0"/>
          <w:sz w:val="20"/>
          <w:szCs w:val="20"/>
          <w:lang w:val="en-GB" w:bidi="fr-FR"/>
        </w:rPr>
      </w:pPr>
    </w:p>
    <w:p w14:paraId="1C3E185B" w14:textId="77777777" w:rsidR="008F7AA0" w:rsidRDefault="008F7AA0" w:rsidP="00C54E9A">
      <w:pPr>
        <w:pStyle w:val="BodyText2"/>
        <w:rPr>
          <w:rFonts w:eastAsia="Calibri" w:cs="Arial"/>
          <w:b w:val="0"/>
          <w:sz w:val="20"/>
          <w:szCs w:val="20"/>
          <w:lang w:val="en-GB" w:bidi="fr-FR"/>
        </w:rPr>
      </w:pPr>
    </w:p>
    <w:p w14:paraId="6C5FCC4A" w14:textId="37FACCF9" w:rsidR="008F7AA0" w:rsidRDefault="008F7AA0" w:rsidP="008F7AA0">
      <w:pPr>
        <w:jc w:val="both"/>
        <w:rPr>
          <w:rFonts w:ascii="Arial" w:hAnsi="Arial" w:cs="Arial"/>
          <w:lang w:val="en-US"/>
        </w:rPr>
      </w:pPr>
      <w:r>
        <w:rPr>
          <w:rFonts w:ascii="Arial" w:hAnsi="Arial" w:cs="Arial"/>
          <w:lang w:val="en-US"/>
        </w:rPr>
        <w:t xml:space="preserve">Relative to the historical average, the region’s reserve cover, in the outer years of 2022 and 2023, </w:t>
      </w:r>
      <w:r w:rsidRPr="001E6D9F">
        <w:rPr>
          <w:rFonts w:ascii="Arial" w:hAnsi="Arial" w:cs="Arial"/>
          <w:lang w:val="en-US"/>
        </w:rPr>
        <w:t xml:space="preserve">is expected to </w:t>
      </w:r>
      <w:r>
        <w:rPr>
          <w:rFonts w:ascii="Arial" w:hAnsi="Arial" w:cs="Arial"/>
          <w:lang w:val="en-US"/>
        </w:rPr>
        <w:t xml:space="preserve">drop substantially to 2.6 and 2.7 </w:t>
      </w:r>
      <w:r w:rsidRPr="001E6D9F">
        <w:rPr>
          <w:rFonts w:ascii="Arial" w:hAnsi="Arial" w:cs="Arial"/>
          <w:lang w:val="en-US"/>
        </w:rPr>
        <w:t>months of import of good and services</w:t>
      </w:r>
      <w:r>
        <w:rPr>
          <w:rFonts w:ascii="Arial" w:hAnsi="Arial" w:cs="Arial"/>
          <w:lang w:val="en-US"/>
        </w:rPr>
        <w:t>, largely on market interventions to offset exchange rate pressures in response to tightening global financial conditions.</w:t>
      </w:r>
    </w:p>
    <w:p w14:paraId="2C93DAE5" w14:textId="77777777" w:rsidR="008F7AA0" w:rsidRDefault="008F7AA0" w:rsidP="00C54E9A">
      <w:pPr>
        <w:pStyle w:val="BodyText2"/>
        <w:rPr>
          <w:rFonts w:eastAsia="Calibri" w:cs="Arial"/>
          <w:b w:val="0"/>
          <w:sz w:val="20"/>
          <w:szCs w:val="20"/>
          <w:lang w:val="en-GB" w:bidi="fr-FR"/>
        </w:rPr>
      </w:pPr>
    </w:p>
    <w:p w14:paraId="4E2AF362" w14:textId="33E644C8" w:rsidR="006A54BB" w:rsidRPr="005A3F76" w:rsidRDefault="0020340B" w:rsidP="008E14D5">
      <w:pPr>
        <w:pStyle w:val="Heading1"/>
        <w:numPr>
          <w:ilvl w:val="0"/>
          <w:numId w:val="10"/>
        </w:numPr>
        <w:spacing w:before="0" w:after="120" w:line="276" w:lineRule="auto"/>
        <w:rPr>
          <w:rFonts w:ascii="Arial" w:hAnsi="Arial" w:cs="Arial"/>
          <w:sz w:val="22"/>
          <w:szCs w:val="22"/>
        </w:rPr>
      </w:pPr>
      <w:bookmarkStart w:id="36" w:name="_Toc70943222"/>
      <w:r w:rsidRPr="005A3F76">
        <w:rPr>
          <w:rFonts w:ascii="Arial" w:hAnsi="Arial" w:cs="Arial"/>
          <w:sz w:val="22"/>
          <w:szCs w:val="22"/>
        </w:rPr>
        <w:lastRenderedPageBreak/>
        <w:t xml:space="preserve">Medium Term Prospects and Recommendations </w:t>
      </w:r>
      <w:r w:rsidR="00C54E9A" w:rsidRPr="005A3F76">
        <w:rPr>
          <w:rFonts w:ascii="Arial" w:hAnsi="Arial" w:cs="Arial"/>
          <w:sz w:val="22"/>
          <w:szCs w:val="22"/>
        </w:rPr>
        <w:t>for Chance</w:t>
      </w:r>
      <w:r w:rsidR="00464044" w:rsidRPr="005A3F76">
        <w:rPr>
          <w:rFonts w:ascii="Arial" w:hAnsi="Arial" w:cs="Arial"/>
          <w:sz w:val="22"/>
          <w:szCs w:val="22"/>
        </w:rPr>
        <w:t xml:space="preserve"> to Change</w:t>
      </w:r>
      <w:bookmarkEnd w:id="36"/>
    </w:p>
    <w:p w14:paraId="60C7D203" w14:textId="77777777" w:rsidR="006A54BB" w:rsidRPr="00B6509D" w:rsidRDefault="006A54BB" w:rsidP="002C3EB9">
      <w:pPr>
        <w:pStyle w:val="NoSpacing"/>
        <w:rPr>
          <w:b/>
          <w:lang w:val="en-US"/>
        </w:rPr>
      </w:pPr>
    </w:p>
    <w:p w14:paraId="2AF95804" w14:textId="562C0199" w:rsidR="007B60DE" w:rsidRDefault="00FD1BD9" w:rsidP="007B60DE">
      <w:pPr>
        <w:spacing w:after="120"/>
        <w:jc w:val="both"/>
        <w:rPr>
          <w:rFonts w:ascii="Arial" w:hAnsi="Arial" w:cs="Arial"/>
        </w:rPr>
      </w:pPr>
      <w:bookmarkStart w:id="37" w:name="_Hlk115864286"/>
      <w:r w:rsidRPr="007B60DE">
        <w:rPr>
          <w:rFonts w:ascii="Arial" w:hAnsi="Arial" w:cs="Arial"/>
          <w:lang w:val="en-US"/>
        </w:rPr>
        <w:t>The region</w:t>
      </w:r>
      <w:r w:rsidRPr="007B60DE">
        <w:rPr>
          <w:rFonts w:ascii="Arial" w:hAnsi="Arial" w:cs="Arial"/>
        </w:rPr>
        <w:t xml:space="preserve"> faces particularly challenging </w:t>
      </w:r>
      <w:r w:rsidR="00173D15" w:rsidRPr="007B60DE">
        <w:rPr>
          <w:rFonts w:ascii="Arial" w:hAnsi="Arial" w:cs="Arial"/>
        </w:rPr>
        <w:t>enviro</w:t>
      </w:r>
      <w:r w:rsidR="00173D15">
        <w:rPr>
          <w:rFonts w:ascii="Arial" w:hAnsi="Arial" w:cs="Arial"/>
        </w:rPr>
        <w:t>nm</w:t>
      </w:r>
      <w:r w:rsidR="00173D15" w:rsidRPr="007B60DE">
        <w:rPr>
          <w:rFonts w:ascii="Arial" w:hAnsi="Arial" w:cs="Arial"/>
        </w:rPr>
        <w:t>ent</w:t>
      </w:r>
      <w:r w:rsidRPr="007B60DE">
        <w:rPr>
          <w:rFonts w:ascii="Arial" w:hAnsi="Arial" w:cs="Arial"/>
        </w:rPr>
        <w:t xml:space="preserve"> marked by higher and more volatile commodity prices, rising inflationary pressures, tighter-than-expected global financial conditions, and a lingering pandemic.</w:t>
      </w:r>
      <w:r w:rsidR="00501D40">
        <w:rPr>
          <w:rFonts w:ascii="Arial" w:hAnsi="Arial" w:cs="Arial"/>
        </w:rPr>
        <w:t xml:space="preserve"> </w:t>
      </w:r>
      <w:r w:rsidR="00501D40" w:rsidRPr="006C7903">
        <w:rPr>
          <w:rFonts w:ascii="Arial" w:hAnsi="Arial" w:cs="Arial"/>
        </w:rPr>
        <w:t>Fending off these extraordinaire headwinds and uncertainties, amidst dwindling policy space</w:t>
      </w:r>
      <w:bookmarkEnd w:id="37"/>
      <w:r w:rsidR="00501D40" w:rsidRPr="006C7903">
        <w:rPr>
          <w:rFonts w:ascii="Arial" w:hAnsi="Arial" w:cs="Arial"/>
        </w:rPr>
        <w:t>, will require the region to</w:t>
      </w:r>
      <w:r w:rsidR="00501D40">
        <w:rPr>
          <w:rFonts w:ascii="Arial" w:hAnsi="Arial" w:cs="Arial"/>
        </w:rPr>
        <w:t> :</w:t>
      </w:r>
      <w:r w:rsidRPr="007B60DE">
        <w:rPr>
          <w:rFonts w:ascii="Arial" w:hAnsi="Arial" w:cs="Arial"/>
        </w:rPr>
        <w:t xml:space="preserve"> </w:t>
      </w:r>
    </w:p>
    <w:p w14:paraId="02D2317E" w14:textId="77777777" w:rsidR="007B60DE" w:rsidRPr="007B60DE" w:rsidRDefault="007B60DE" w:rsidP="007B60DE">
      <w:pPr>
        <w:spacing w:after="120"/>
        <w:jc w:val="both"/>
        <w:rPr>
          <w:rFonts w:ascii="Arial" w:hAnsi="Arial" w:cs="Arial"/>
          <w:lang w:val="en-US"/>
        </w:rPr>
      </w:pPr>
    </w:p>
    <w:p w14:paraId="1A503E03" w14:textId="78298D6D" w:rsidR="007B60DE" w:rsidRPr="007B60DE" w:rsidRDefault="00501D40" w:rsidP="006C7903">
      <w:pPr>
        <w:pStyle w:val="ListParagraph"/>
        <w:numPr>
          <w:ilvl w:val="0"/>
          <w:numId w:val="13"/>
        </w:numPr>
        <w:spacing w:after="120"/>
        <w:jc w:val="both"/>
        <w:rPr>
          <w:rFonts w:ascii="Arial" w:hAnsi="Arial" w:cs="Arial"/>
          <w:lang w:val="en-US"/>
        </w:rPr>
      </w:pPr>
      <w:r>
        <w:rPr>
          <w:rFonts w:ascii="Arial" w:hAnsi="Arial" w:cs="Arial"/>
        </w:rPr>
        <w:t>A</w:t>
      </w:r>
      <w:r w:rsidR="00FD1BD9" w:rsidRPr="006C7903">
        <w:rPr>
          <w:rFonts w:ascii="Arial" w:hAnsi="Arial" w:cs="Arial"/>
        </w:rPr>
        <w:t>ccelerate the vaccination campaign to reduce the risk of new COVID-19 waves and the emergence of new variants</w:t>
      </w:r>
      <w:r w:rsidR="00FD1BD9" w:rsidRPr="006C7903">
        <w:rPr>
          <w:rFonts w:ascii="Arial" w:hAnsi="Arial" w:cs="Arial"/>
          <w:lang w:val="en-US"/>
        </w:rPr>
        <w:t xml:space="preserve"> and the outbreak of monkeypox. </w:t>
      </w:r>
      <w:r w:rsidR="006C7903" w:rsidRPr="006C7903">
        <w:rPr>
          <w:rFonts w:ascii="Arial" w:hAnsi="Arial" w:cs="Arial"/>
          <w:lang w:val="en-US"/>
        </w:rPr>
        <w:t xml:space="preserve">Therefore, countries need to </w:t>
      </w:r>
      <w:r w:rsidR="00FD1BD9" w:rsidRPr="006C7903">
        <w:rPr>
          <w:rFonts w:ascii="Arial" w:hAnsi="Arial" w:cs="Arial"/>
        </w:rPr>
        <w:t>address</w:t>
      </w:r>
      <w:r w:rsidR="006C7903" w:rsidRPr="006C7903">
        <w:rPr>
          <w:rFonts w:ascii="Arial" w:hAnsi="Arial" w:cs="Arial"/>
        </w:rPr>
        <w:t xml:space="preserve"> </w:t>
      </w:r>
      <w:r w:rsidR="00FD1BD9" w:rsidRPr="006C7903">
        <w:rPr>
          <w:rFonts w:ascii="Arial" w:hAnsi="Arial" w:cs="Arial"/>
        </w:rPr>
        <w:t xml:space="preserve">logistical challenges, counter vaccine hesitancy and </w:t>
      </w:r>
      <w:r w:rsidR="00FD1BD9" w:rsidRPr="006C7903">
        <w:rPr>
          <w:rFonts w:ascii="Arial" w:hAnsi="Arial" w:cs="Arial"/>
          <w:lang w:val="en-US"/>
        </w:rPr>
        <w:t>enhanc</w:t>
      </w:r>
      <w:r w:rsidR="006C7903" w:rsidRPr="006C7903">
        <w:rPr>
          <w:rFonts w:ascii="Arial" w:hAnsi="Arial" w:cs="Arial"/>
          <w:lang w:val="en-US"/>
        </w:rPr>
        <w:t xml:space="preserve">e </w:t>
      </w:r>
      <w:r w:rsidR="00FD1BD9" w:rsidRPr="006C7903">
        <w:rPr>
          <w:rFonts w:ascii="Arial" w:hAnsi="Arial" w:cs="Arial"/>
          <w:lang w:val="en-US"/>
        </w:rPr>
        <w:t>vaccination uptake</w:t>
      </w:r>
      <w:r w:rsidR="00FD1BD9" w:rsidRPr="006C7903">
        <w:rPr>
          <w:rFonts w:ascii="Arial" w:hAnsi="Arial" w:cs="Arial"/>
        </w:rPr>
        <w:t xml:space="preserve"> through aggressive awareness campaigns as well as </w:t>
      </w:r>
      <w:bookmarkStart w:id="38" w:name="_Hlk115943880"/>
      <w:r w:rsidR="00FD1BD9" w:rsidRPr="006C7903">
        <w:rPr>
          <w:rFonts w:ascii="Arial" w:hAnsi="Arial" w:cs="Arial"/>
        </w:rPr>
        <w:t>bolstering the resilience of local health systems</w:t>
      </w:r>
      <w:bookmarkEnd w:id="38"/>
      <w:r w:rsidR="00FD1BD9" w:rsidRPr="006C7903">
        <w:rPr>
          <w:rFonts w:ascii="Arial" w:hAnsi="Arial" w:cs="Arial"/>
          <w:lang w:val="en-US"/>
        </w:rPr>
        <w:t>—</w:t>
      </w:r>
      <w:r w:rsidR="00FD1BD9" w:rsidRPr="006C7903">
        <w:rPr>
          <w:rFonts w:ascii="Arial" w:hAnsi="Arial" w:cs="Arial"/>
        </w:rPr>
        <w:t>by investing in therapeutics, testing, and epidemiological surveillance</w:t>
      </w:r>
      <w:r w:rsidR="00FD1BD9" w:rsidRPr="006C7903">
        <w:rPr>
          <w:rFonts w:ascii="Arial" w:hAnsi="Arial" w:cs="Arial"/>
          <w:lang w:val="en-US"/>
        </w:rPr>
        <w:t>—</w:t>
      </w:r>
      <w:r w:rsidR="00FD1BD9" w:rsidRPr="006C7903">
        <w:rPr>
          <w:rFonts w:ascii="Arial" w:hAnsi="Arial" w:cs="Arial"/>
        </w:rPr>
        <w:t xml:space="preserve">to reduce over reliance on the donor community. </w:t>
      </w:r>
    </w:p>
    <w:p w14:paraId="66A5C044" w14:textId="77777777" w:rsidR="007B60DE" w:rsidRPr="007B60DE" w:rsidRDefault="007B60DE" w:rsidP="007B60DE">
      <w:pPr>
        <w:pStyle w:val="ListParagraph"/>
        <w:spacing w:after="120"/>
        <w:ind w:left="990"/>
        <w:jc w:val="both"/>
        <w:rPr>
          <w:rFonts w:ascii="Arial" w:hAnsi="Arial" w:cs="Arial"/>
          <w:lang w:val="en-US"/>
        </w:rPr>
      </w:pPr>
    </w:p>
    <w:p w14:paraId="2820CB97" w14:textId="59540565" w:rsidR="007B60DE" w:rsidRPr="007B60DE" w:rsidRDefault="00501D40" w:rsidP="006C7903">
      <w:pPr>
        <w:pStyle w:val="ListParagraph"/>
        <w:numPr>
          <w:ilvl w:val="0"/>
          <w:numId w:val="13"/>
        </w:numPr>
        <w:spacing w:after="120"/>
        <w:jc w:val="both"/>
        <w:rPr>
          <w:rFonts w:ascii="Arial" w:hAnsi="Arial" w:cs="Arial"/>
          <w:lang w:val="en-US"/>
        </w:rPr>
      </w:pPr>
      <w:r>
        <w:rPr>
          <w:rFonts w:ascii="Arial" w:hAnsi="Arial" w:cs="Arial"/>
        </w:rPr>
        <w:t>C</w:t>
      </w:r>
      <w:r w:rsidR="00FD1BD9" w:rsidRPr="006C7903">
        <w:rPr>
          <w:rFonts w:ascii="Arial" w:hAnsi="Arial" w:cs="Arial"/>
        </w:rPr>
        <w:t xml:space="preserve">arefully </w:t>
      </w:r>
      <w:bookmarkStart w:id="39" w:name="_Hlk114060716"/>
      <w:r w:rsidR="00FD1BD9" w:rsidRPr="006C7903">
        <w:rPr>
          <w:rFonts w:ascii="Arial" w:hAnsi="Arial" w:cs="Arial"/>
        </w:rPr>
        <w:t xml:space="preserve">strike a </w:t>
      </w:r>
      <w:proofErr w:type="spellStart"/>
      <w:r w:rsidR="00FD1BD9" w:rsidRPr="006C7903">
        <w:rPr>
          <w:rFonts w:ascii="Arial" w:hAnsi="Arial" w:cs="Arial"/>
        </w:rPr>
        <w:t>balance</w:t>
      </w:r>
      <w:proofErr w:type="spellEnd"/>
      <w:r w:rsidR="00FD1BD9" w:rsidRPr="006C7903">
        <w:rPr>
          <w:rFonts w:ascii="Arial" w:hAnsi="Arial" w:cs="Arial"/>
        </w:rPr>
        <w:t xml:space="preserve"> between c</w:t>
      </w:r>
      <w:r w:rsidR="00FD1BD9" w:rsidRPr="006C7903">
        <w:rPr>
          <w:rFonts w:ascii="Arial" w:hAnsi="Arial" w:cs="Arial"/>
          <w:lang w:val="en-US"/>
        </w:rPr>
        <w:t xml:space="preserve">ontaining </w:t>
      </w:r>
      <w:r w:rsidR="00FD1BD9" w:rsidRPr="006C7903">
        <w:rPr>
          <w:rFonts w:ascii="Arial" w:hAnsi="Arial" w:cs="Arial"/>
        </w:rPr>
        <w:t xml:space="preserve">the </w:t>
      </w:r>
      <w:r w:rsidR="00FD1BD9" w:rsidRPr="006C7903">
        <w:rPr>
          <w:rFonts w:ascii="Arial" w:hAnsi="Arial" w:cs="Arial"/>
          <w:lang w:val="en-US"/>
        </w:rPr>
        <w:t xml:space="preserve">ongoing inflationary pressures </w:t>
      </w:r>
      <w:r w:rsidR="00FD1BD9" w:rsidRPr="006C7903">
        <w:rPr>
          <w:rFonts w:ascii="Arial" w:hAnsi="Arial" w:cs="Arial"/>
        </w:rPr>
        <w:t>and supporting the on-going economic recovery</w:t>
      </w:r>
      <w:r w:rsidR="007B60DE">
        <w:rPr>
          <w:rFonts w:ascii="Arial" w:hAnsi="Arial" w:cs="Arial"/>
        </w:rPr>
        <w:t xml:space="preserve">, while at the same time </w:t>
      </w:r>
      <w:r w:rsidR="00FD1BD9" w:rsidRPr="006C7903">
        <w:rPr>
          <w:rFonts w:ascii="Arial" w:hAnsi="Arial" w:cs="Arial"/>
          <w:lang w:val="en-US"/>
        </w:rPr>
        <w:t>manage</w:t>
      </w:r>
      <w:r w:rsidR="00FD1BD9" w:rsidRPr="006C7903">
        <w:rPr>
          <w:rFonts w:ascii="Arial" w:hAnsi="Arial" w:cs="Arial"/>
        </w:rPr>
        <w:t xml:space="preserve"> </w:t>
      </w:r>
      <w:r w:rsidR="00FD1BD9" w:rsidRPr="006C7903">
        <w:rPr>
          <w:rFonts w:ascii="Arial" w:hAnsi="Arial" w:cs="Arial"/>
          <w:lang w:val="en-US"/>
        </w:rPr>
        <w:t>exchange rate volatilities in response to tightening global financial conditions</w:t>
      </w:r>
      <w:bookmarkEnd w:id="39"/>
      <w:r w:rsidR="00FD1BD9" w:rsidRPr="006C7903">
        <w:rPr>
          <w:rFonts w:ascii="Arial" w:hAnsi="Arial" w:cs="Arial"/>
        </w:rPr>
        <w:t xml:space="preserve">. </w:t>
      </w:r>
    </w:p>
    <w:p w14:paraId="0C84E61F" w14:textId="77777777" w:rsidR="007B60DE" w:rsidRPr="007B60DE" w:rsidRDefault="007B60DE" w:rsidP="007B60DE">
      <w:pPr>
        <w:pStyle w:val="ListParagraph"/>
        <w:rPr>
          <w:rFonts w:ascii="Arial" w:hAnsi="Arial" w:cs="Arial"/>
          <w:lang w:val="en-US"/>
        </w:rPr>
      </w:pPr>
    </w:p>
    <w:p w14:paraId="03B6D2A3" w14:textId="2DB12296" w:rsidR="00FD1BD9" w:rsidRPr="006C7903" w:rsidRDefault="00501D40" w:rsidP="006C7903">
      <w:pPr>
        <w:pStyle w:val="ListParagraph"/>
        <w:numPr>
          <w:ilvl w:val="0"/>
          <w:numId w:val="13"/>
        </w:numPr>
        <w:spacing w:after="120"/>
        <w:jc w:val="both"/>
        <w:rPr>
          <w:rFonts w:ascii="Arial" w:hAnsi="Arial" w:cs="Arial"/>
          <w:lang w:val="en-US"/>
        </w:rPr>
      </w:pPr>
      <w:r>
        <w:rPr>
          <w:rFonts w:ascii="Arial" w:hAnsi="Arial" w:cs="Arial"/>
        </w:rPr>
        <w:t>C</w:t>
      </w:r>
      <w:r w:rsidR="00FD1BD9" w:rsidRPr="006C7903">
        <w:rPr>
          <w:rFonts w:ascii="Arial" w:hAnsi="Arial" w:cs="Arial"/>
        </w:rPr>
        <w:t xml:space="preserve">ushion vulnerable segments of their </w:t>
      </w:r>
      <w:r w:rsidR="00FD1BD9" w:rsidRPr="006C7903">
        <w:rPr>
          <w:rFonts w:ascii="Arial" w:hAnsi="Arial" w:cs="Arial"/>
          <w:lang w:val="en-US"/>
        </w:rPr>
        <w:t xml:space="preserve">populations from the surging prices of essential commodities without worsening the already high post-pandemic debt vulnerability through a reprioritization of spending. It is a step in the right direction for countries in the region that are cushioning their citizens by raising the minimum wages, putting in place energy subsidies and local tax cuts on goods of common use, while keeping a lid on debt. </w:t>
      </w:r>
    </w:p>
    <w:p w14:paraId="18BC1D25" w14:textId="77777777" w:rsidR="00FD1BD9" w:rsidRPr="00FD1BD9" w:rsidRDefault="00FD1BD9" w:rsidP="007B60DE">
      <w:pPr>
        <w:pStyle w:val="ListParagraph"/>
        <w:ind w:left="990"/>
        <w:jc w:val="both"/>
        <w:rPr>
          <w:rFonts w:ascii="Arial" w:hAnsi="Arial" w:cs="Arial"/>
          <w:lang w:val="en-US"/>
        </w:rPr>
      </w:pPr>
    </w:p>
    <w:p w14:paraId="38327C5A" w14:textId="16C6D92C" w:rsidR="007B60DE" w:rsidRDefault="00501D40" w:rsidP="00FC40E3">
      <w:pPr>
        <w:pStyle w:val="ListParagraph"/>
        <w:numPr>
          <w:ilvl w:val="0"/>
          <w:numId w:val="13"/>
        </w:numPr>
        <w:jc w:val="both"/>
        <w:rPr>
          <w:rFonts w:ascii="Arial" w:hAnsi="Arial" w:cs="Arial"/>
          <w:lang w:val="en-US"/>
        </w:rPr>
      </w:pPr>
      <w:r>
        <w:rPr>
          <w:rFonts w:ascii="Arial" w:hAnsi="Arial" w:cs="Arial"/>
          <w:lang w:val="en-US"/>
        </w:rPr>
        <w:t>In addition, to</w:t>
      </w:r>
      <w:r w:rsidR="00920A9F">
        <w:rPr>
          <w:rFonts w:ascii="Arial" w:hAnsi="Arial" w:cs="Arial"/>
          <w:lang w:val="en-US"/>
        </w:rPr>
        <w:t xml:space="preserve"> reign on the threatening debt levels, member countries </w:t>
      </w:r>
      <w:r w:rsidR="00920A9F" w:rsidRPr="00920A9F">
        <w:rPr>
          <w:rFonts w:ascii="Arial" w:hAnsi="Arial" w:cs="Arial"/>
          <w:lang w:val="en-US"/>
        </w:rPr>
        <w:t xml:space="preserve">will </w:t>
      </w:r>
      <w:r w:rsidR="00920A9F">
        <w:rPr>
          <w:rFonts w:ascii="Arial" w:hAnsi="Arial" w:cs="Arial"/>
          <w:lang w:val="en-US"/>
        </w:rPr>
        <w:t xml:space="preserve">need </w:t>
      </w:r>
      <w:r w:rsidR="00920A9F" w:rsidRPr="00920A9F">
        <w:rPr>
          <w:rFonts w:ascii="Arial" w:hAnsi="Arial" w:cs="Arial"/>
          <w:lang w:val="en-US"/>
        </w:rPr>
        <w:t>to create more fiscal space, through domestic revenue mobilization, prioritization and efficiency gains on spending</w:t>
      </w:r>
      <w:r w:rsidR="00920A9F">
        <w:rPr>
          <w:rFonts w:ascii="Arial" w:hAnsi="Arial" w:cs="Arial"/>
          <w:lang w:val="en-US"/>
        </w:rPr>
        <w:t xml:space="preserve">. Beyond this </w:t>
      </w:r>
      <w:r w:rsidR="00920A9F" w:rsidRPr="00920A9F">
        <w:rPr>
          <w:rFonts w:ascii="Arial" w:hAnsi="Arial" w:cs="Arial"/>
          <w:lang w:val="en-US"/>
        </w:rPr>
        <w:t>revenue and spending measures</w:t>
      </w:r>
      <w:r w:rsidR="00920A9F">
        <w:rPr>
          <w:rFonts w:ascii="Arial" w:hAnsi="Arial" w:cs="Arial"/>
          <w:lang w:val="en-US"/>
        </w:rPr>
        <w:t xml:space="preserve">, governments need to maximize the </w:t>
      </w:r>
      <w:r w:rsidR="00920A9F" w:rsidRPr="00920A9F">
        <w:rPr>
          <w:rFonts w:ascii="Arial" w:hAnsi="Arial" w:cs="Arial"/>
          <w:lang w:val="en-US"/>
        </w:rPr>
        <w:t>fiscal space by improving their fiscal frameworks</w:t>
      </w:r>
      <w:r w:rsidR="00920A9F">
        <w:rPr>
          <w:rFonts w:ascii="Arial" w:hAnsi="Arial" w:cs="Arial"/>
          <w:lang w:val="en-US"/>
        </w:rPr>
        <w:t xml:space="preserve"> to </w:t>
      </w:r>
      <w:r w:rsidR="00920A9F" w:rsidRPr="00920A9F">
        <w:rPr>
          <w:rFonts w:ascii="Arial" w:hAnsi="Arial" w:cs="Arial"/>
          <w:lang w:val="en-US"/>
        </w:rPr>
        <w:t>credibly balances the need for short-term support with medium-term consolidation</w:t>
      </w:r>
      <w:r w:rsidR="00920A9F">
        <w:rPr>
          <w:rFonts w:ascii="Arial" w:hAnsi="Arial" w:cs="Arial"/>
          <w:lang w:val="en-US"/>
        </w:rPr>
        <w:t xml:space="preserve">. </w:t>
      </w:r>
    </w:p>
    <w:p w14:paraId="03D95726" w14:textId="77777777" w:rsidR="007B60DE" w:rsidRPr="007B60DE" w:rsidRDefault="007B60DE" w:rsidP="007B60DE">
      <w:pPr>
        <w:pStyle w:val="ListParagraph"/>
        <w:rPr>
          <w:rFonts w:ascii="Arial" w:hAnsi="Arial" w:cs="Arial"/>
          <w:lang w:val="en-US"/>
        </w:rPr>
      </w:pPr>
    </w:p>
    <w:p w14:paraId="018A188D" w14:textId="77777777" w:rsidR="007B60DE" w:rsidRDefault="00E47A96" w:rsidP="00FC40E3">
      <w:pPr>
        <w:pStyle w:val="ListParagraph"/>
        <w:numPr>
          <w:ilvl w:val="0"/>
          <w:numId w:val="13"/>
        </w:numPr>
        <w:jc w:val="both"/>
        <w:rPr>
          <w:rFonts w:ascii="Arial" w:hAnsi="Arial" w:cs="Arial"/>
          <w:lang w:val="en-US"/>
        </w:rPr>
      </w:pPr>
      <w:r>
        <w:rPr>
          <w:rFonts w:ascii="Arial" w:hAnsi="Arial" w:cs="Arial"/>
          <w:lang w:val="en-US"/>
        </w:rPr>
        <w:t>In the medium term, s</w:t>
      </w:r>
      <w:r w:rsidR="001D3A63" w:rsidRPr="001D3A63">
        <w:rPr>
          <w:rFonts w:ascii="Arial" w:hAnsi="Arial" w:cs="Arial"/>
          <w:lang w:val="en-US"/>
        </w:rPr>
        <w:t>tructural transformation and economic diversification of individual economies in the region</w:t>
      </w:r>
      <w:r>
        <w:rPr>
          <w:rFonts w:ascii="Arial" w:hAnsi="Arial" w:cs="Arial"/>
          <w:lang w:val="en-US"/>
        </w:rPr>
        <w:t xml:space="preserve"> will be crucial</w:t>
      </w:r>
      <w:r w:rsidR="001D3A63" w:rsidRPr="001D3A63">
        <w:rPr>
          <w:rFonts w:ascii="Arial" w:hAnsi="Arial" w:cs="Arial"/>
          <w:lang w:val="en-US"/>
        </w:rPr>
        <w:t xml:space="preserve">. COVID-19 </w:t>
      </w:r>
      <w:r w:rsidR="0038074B" w:rsidRPr="001D3A63">
        <w:rPr>
          <w:rFonts w:ascii="Arial" w:hAnsi="Arial" w:cs="Arial"/>
          <w:lang w:val="en-US"/>
        </w:rPr>
        <w:t>has</w:t>
      </w:r>
      <w:r w:rsidR="001D3A63" w:rsidRPr="001D3A63">
        <w:rPr>
          <w:rFonts w:ascii="Arial" w:hAnsi="Arial" w:cs="Arial"/>
          <w:lang w:val="en-US"/>
        </w:rPr>
        <w:t xml:space="preserve"> clearly demonstrated that with disrupted trade channels, local manufacturers have been able to rise to the </w:t>
      </w:r>
      <w:r w:rsidRPr="001D3A63">
        <w:rPr>
          <w:rFonts w:ascii="Arial" w:hAnsi="Arial" w:cs="Arial"/>
          <w:lang w:val="en-US"/>
        </w:rPr>
        <w:t>occasion</w:t>
      </w:r>
      <w:r>
        <w:rPr>
          <w:rFonts w:ascii="Arial" w:hAnsi="Arial" w:cs="Arial"/>
          <w:lang w:val="en-US"/>
        </w:rPr>
        <w:t xml:space="preserve">. There is therefore </w:t>
      </w:r>
      <w:r w:rsidR="001D3A63" w:rsidRPr="001D3A63">
        <w:rPr>
          <w:rFonts w:ascii="Arial" w:hAnsi="Arial" w:cs="Arial"/>
          <w:lang w:val="en-US"/>
        </w:rPr>
        <w:t>need to</w:t>
      </w:r>
      <w:r w:rsidR="001D3A63">
        <w:rPr>
          <w:rFonts w:ascii="Arial" w:hAnsi="Arial" w:cs="Arial"/>
          <w:lang w:val="en-US"/>
        </w:rPr>
        <w:t xml:space="preserve"> s</w:t>
      </w:r>
      <w:r w:rsidR="001D3A63" w:rsidRPr="001D3A63">
        <w:rPr>
          <w:rFonts w:ascii="Arial" w:hAnsi="Arial" w:cs="Arial"/>
          <w:lang w:val="en-US"/>
        </w:rPr>
        <w:t>ustain emerging pharmaceutical and medical supply industries in a post Covid-19 era</w:t>
      </w:r>
    </w:p>
    <w:p w14:paraId="29DC93E5" w14:textId="77777777" w:rsidR="007B60DE" w:rsidRPr="007B60DE" w:rsidRDefault="007B60DE" w:rsidP="007B60DE">
      <w:pPr>
        <w:pStyle w:val="ListParagraph"/>
        <w:rPr>
          <w:rFonts w:ascii="Arial" w:hAnsi="Arial" w:cs="Arial"/>
          <w:lang w:val="en-US"/>
        </w:rPr>
      </w:pPr>
    </w:p>
    <w:p w14:paraId="722A5C70" w14:textId="7EFFDEBE" w:rsidR="001D3A63" w:rsidRDefault="001D3A63" w:rsidP="00FC40E3">
      <w:pPr>
        <w:pStyle w:val="ListParagraph"/>
        <w:numPr>
          <w:ilvl w:val="0"/>
          <w:numId w:val="13"/>
        </w:numPr>
        <w:jc w:val="both"/>
        <w:rPr>
          <w:rFonts w:ascii="Arial" w:hAnsi="Arial" w:cs="Arial"/>
          <w:lang w:val="en-US"/>
        </w:rPr>
      </w:pPr>
      <w:r w:rsidRPr="001D3A63">
        <w:rPr>
          <w:rFonts w:ascii="Arial" w:hAnsi="Arial" w:cs="Arial"/>
          <w:lang w:val="en-US"/>
        </w:rPr>
        <w:t xml:space="preserve">Leverage </w:t>
      </w:r>
      <w:proofErr w:type="spellStart"/>
      <w:r w:rsidRPr="001D3A63">
        <w:rPr>
          <w:rFonts w:ascii="Arial" w:hAnsi="Arial" w:cs="Arial"/>
          <w:lang w:val="en-US"/>
        </w:rPr>
        <w:t>AfCFTA</w:t>
      </w:r>
      <w:proofErr w:type="spellEnd"/>
      <w:r w:rsidRPr="001D3A63">
        <w:rPr>
          <w:rFonts w:ascii="Arial" w:hAnsi="Arial" w:cs="Arial"/>
          <w:lang w:val="en-US"/>
        </w:rPr>
        <w:t xml:space="preserve"> to strengthen value-addition and industrial growth</w:t>
      </w:r>
      <w:r w:rsidR="00552496">
        <w:rPr>
          <w:rFonts w:ascii="Arial" w:hAnsi="Arial" w:cs="Arial"/>
          <w:lang w:val="en-US"/>
        </w:rPr>
        <w:t xml:space="preserve"> and increas</w:t>
      </w:r>
      <w:r w:rsidR="00756A55">
        <w:rPr>
          <w:rFonts w:ascii="Arial" w:hAnsi="Arial" w:cs="Arial"/>
          <w:lang w:val="en-US"/>
        </w:rPr>
        <w:t xml:space="preserve">e </w:t>
      </w:r>
      <w:r w:rsidR="00552496">
        <w:rPr>
          <w:rFonts w:ascii="Arial" w:hAnsi="Arial" w:cs="Arial"/>
          <w:lang w:val="en-US"/>
        </w:rPr>
        <w:t xml:space="preserve">the role of digitization </w:t>
      </w:r>
      <w:r w:rsidR="00C15281">
        <w:rPr>
          <w:rFonts w:ascii="Arial" w:hAnsi="Arial" w:cs="Arial"/>
          <w:lang w:val="en-US"/>
        </w:rPr>
        <w:t>to</w:t>
      </w:r>
      <w:r w:rsidR="00552496">
        <w:rPr>
          <w:rFonts w:ascii="Arial" w:hAnsi="Arial" w:cs="Arial"/>
          <w:lang w:val="en-US"/>
        </w:rPr>
        <w:t xml:space="preserve"> continue to play an important role in the economies of the region. </w:t>
      </w:r>
    </w:p>
    <w:p w14:paraId="13BD5CEC" w14:textId="77777777" w:rsidR="00D16B4D" w:rsidRDefault="00D16B4D" w:rsidP="003D5E12">
      <w:pPr>
        <w:pStyle w:val="ListParagraph"/>
        <w:ind w:left="360"/>
        <w:jc w:val="both"/>
      </w:pPr>
    </w:p>
    <w:p w14:paraId="6EB39701" w14:textId="77777777" w:rsidR="007C03AB" w:rsidRPr="005A3F76" w:rsidRDefault="0073220E" w:rsidP="008E14D5">
      <w:pPr>
        <w:pStyle w:val="Heading1"/>
        <w:numPr>
          <w:ilvl w:val="0"/>
          <w:numId w:val="10"/>
        </w:numPr>
        <w:spacing w:before="0" w:after="120" w:line="276" w:lineRule="auto"/>
        <w:rPr>
          <w:rFonts w:ascii="Arial" w:hAnsi="Arial" w:cs="Arial"/>
          <w:sz w:val="22"/>
          <w:szCs w:val="22"/>
        </w:rPr>
      </w:pPr>
      <w:bookmarkStart w:id="40" w:name="_Toc70943223"/>
      <w:r w:rsidRPr="005A3F76">
        <w:rPr>
          <w:rFonts w:ascii="Arial" w:hAnsi="Arial" w:cs="Arial"/>
          <w:sz w:val="22"/>
          <w:szCs w:val="22"/>
        </w:rPr>
        <w:t>Risks</w:t>
      </w:r>
      <w:r w:rsidR="004D50BF" w:rsidRPr="005A3F76">
        <w:rPr>
          <w:rFonts w:ascii="Arial" w:hAnsi="Arial" w:cs="Arial"/>
          <w:sz w:val="22"/>
          <w:szCs w:val="22"/>
        </w:rPr>
        <w:t xml:space="preserve"> to Outlook</w:t>
      </w:r>
      <w:bookmarkEnd w:id="40"/>
    </w:p>
    <w:p w14:paraId="2A7469F4" w14:textId="597D09EC" w:rsidR="002D3224" w:rsidRDefault="00092AAE" w:rsidP="005A3F76">
      <w:pPr>
        <w:jc w:val="both"/>
        <w:rPr>
          <w:rFonts w:ascii="Arial" w:hAnsi="Arial" w:cs="Arial"/>
          <w:lang w:val="en-US"/>
        </w:rPr>
      </w:pPr>
      <w:bookmarkStart w:id="41" w:name="_Hlk115865440"/>
      <w:r w:rsidRPr="00D22B99">
        <w:rPr>
          <w:rFonts w:ascii="Arial" w:hAnsi="Arial" w:cs="Arial"/>
          <w:lang w:val="en-US"/>
        </w:rPr>
        <w:t>Risks posed by a prolonged war in Ukraine and sanctions on exports from Russia may fuel further upward pressure on oil and food prices</w:t>
      </w:r>
      <w:r w:rsidR="005275A7" w:rsidRPr="00D22B99">
        <w:rPr>
          <w:rFonts w:ascii="Arial" w:hAnsi="Arial" w:cs="Arial"/>
          <w:lang w:val="en-US"/>
        </w:rPr>
        <w:t>. This will weigh heavily on the region’s commodity-importing countries, e</w:t>
      </w:r>
      <w:r w:rsidRPr="00D22B99">
        <w:rPr>
          <w:rFonts w:ascii="Arial" w:hAnsi="Arial" w:cs="Arial"/>
          <w:lang w:val="en-US"/>
        </w:rPr>
        <w:t>xacerbat</w:t>
      </w:r>
      <w:r w:rsidR="005275A7" w:rsidRPr="00D22B99">
        <w:rPr>
          <w:rFonts w:ascii="Arial" w:hAnsi="Arial" w:cs="Arial"/>
          <w:lang w:val="en-US"/>
        </w:rPr>
        <w:t>ing t</w:t>
      </w:r>
      <w:r w:rsidRPr="00D22B99">
        <w:rPr>
          <w:rFonts w:ascii="Arial" w:hAnsi="Arial" w:cs="Arial"/>
          <w:lang w:val="en-US"/>
        </w:rPr>
        <w:t>he burden on vulnerable segments of the populations</w:t>
      </w:r>
      <w:r w:rsidR="005275A7" w:rsidRPr="00D22B99">
        <w:rPr>
          <w:rFonts w:ascii="Arial" w:hAnsi="Arial" w:cs="Arial"/>
          <w:lang w:val="en-US"/>
        </w:rPr>
        <w:t xml:space="preserve">. The region is also vulnerable to tightening in global </w:t>
      </w:r>
      <w:r w:rsidR="00D22B99" w:rsidRPr="00D22B99">
        <w:rPr>
          <w:rFonts w:ascii="Arial" w:hAnsi="Arial" w:cs="Arial"/>
          <w:lang w:val="en-US"/>
        </w:rPr>
        <w:t xml:space="preserve">financial </w:t>
      </w:r>
      <w:r w:rsidR="005275A7" w:rsidRPr="00D22B99">
        <w:rPr>
          <w:rFonts w:ascii="Arial" w:hAnsi="Arial" w:cs="Arial"/>
          <w:lang w:val="en-US"/>
        </w:rPr>
        <w:t>conditions</w:t>
      </w:r>
      <w:r w:rsidR="00D22B99" w:rsidRPr="00D22B99">
        <w:rPr>
          <w:rFonts w:ascii="Arial" w:hAnsi="Arial" w:cs="Arial"/>
          <w:lang w:val="en-US"/>
        </w:rPr>
        <w:t xml:space="preserve"> and </w:t>
      </w:r>
      <w:proofErr w:type="spellStart"/>
      <w:r w:rsidR="00D22B99" w:rsidRPr="00D22B99">
        <w:rPr>
          <w:rFonts w:ascii="Arial" w:hAnsi="Arial" w:cs="Arial"/>
          <w:lang w:val="en-US"/>
        </w:rPr>
        <w:t>slow down</w:t>
      </w:r>
      <w:proofErr w:type="spellEnd"/>
      <w:r w:rsidR="00D22B99" w:rsidRPr="00D22B99">
        <w:rPr>
          <w:rFonts w:ascii="Arial" w:hAnsi="Arial" w:cs="Arial"/>
          <w:lang w:val="en-US"/>
        </w:rPr>
        <w:t xml:space="preserve"> in global demand. Locally, the slow vaccine rollout </w:t>
      </w:r>
      <w:r w:rsidR="00D22B99">
        <w:rPr>
          <w:rFonts w:ascii="Arial" w:hAnsi="Arial" w:cs="Arial"/>
          <w:lang w:val="en-US"/>
        </w:rPr>
        <w:t xml:space="preserve">increases the </w:t>
      </w:r>
      <w:r w:rsidR="00D22B99" w:rsidRPr="00D22B99">
        <w:rPr>
          <w:rFonts w:ascii="Arial" w:hAnsi="Arial" w:cs="Arial"/>
          <w:lang w:val="en-US"/>
        </w:rPr>
        <w:t>vulnerab</w:t>
      </w:r>
      <w:r w:rsidR="00D22B99">
        <w:rPr>
          <w:rFonts w:ascii="Arial" w:hAnsi="Arial" w:cs="Arial"/>
          <w:lang w:val="en-US"/>
        </w:rPr>
        <w:t xml:space="preserve">ility of the region </w:t>
      </w:r>
      <w:r w:rsidR="00D22B99" w:rsidRPr="00D22B99">
        <w:rPr>
          <w:rFonts w:ascii="Arial" w:hAnsi="Arial" w:cs="Arial"/>
          <w:lang w:val="en-US"/>
        </w:rPr>
        <w:t>to new COVID-19 waves and could favor the emergence of new variants</w:t>
      </w:r>
      <w:r w:rsidR="00F0556B">
        <w:rPr>
          <w:rFonts w:ascii="Arial" w:hAnsi="Arial" w:cs="Arial"/>
          <w:lang w:val="en-US"/>
        </w:rPr>
        <w:t xml:space="preserve">. This, compounded with </w:t>
      </w:r>
      <w:r w:rsidR="00F0556B" w:rsidRPr="004F223B">
        <w:rPr>
          <w:rFonts w:ascii="Arial" w:hAnsi="Arial" w:cs="Arial"/>
          <w:lang w:val="en-US"/>
        </w:rPr>
        <w:t xml:space="preserve">several armed </w:t>
      </w:r>
      <w:r w:rsidR="00F0556B" w:rsidRPr="004F223B">
        <w:rPr>
          <w:rFonts w:ascii="Arial" w:hAnsi="Arial" w:cs="Arial"/>
          <w:lang w:val="en-US"/>
        </w:rPr>
        <w:lastRenderedPageBreak/>
        <w:t>conflicts and terrorist threats</w:t>
      </w:r>
      <w:r w:rsidR="00F0556B">
        <w:rPr>
          <w:rFonts w:ascii="Arial" w:hAnsi="Arial" w:cs="Arial"/>
          <w:lang w:val="en-US"/>
        </w:rPr>
        <w:t xml:space="preserve"> and climate related shocks </w:t>
      </w:r>
      <w:r w:rsidR="00F0556B" w:rsidRPr="005A3F76">
        <w:rPr>
          <w:rFonts w:ascii="Arial" w:hAnsi="Arial" w:cs="Arial"/>
          <w:lang w:val="en-US"/>
        </w:rPr>
        <w:t>poses serious risks to economies of COMESA member countries</w:t>
      </w:r>
      <w:r w:rsidR="00F0556B">
        <w:rPr>
          <w:rFonts w:ascii="Arial" w:hAnsi="Arial" w:cs="Arial"/>
          <w:lang w:val="en-US"/>
        </w:rPr>
        <w:t xml:space="preserve">. </w:t>
      </w:r>
      <w:r w:rsidR="00D22B99">
        <w:rPr>
          <w:rFonts w:ascii="Arial" w:hAnsi="Arial" w:cs="Arial"/>
          <w:lang w:val="en-US"/>
        </w:rPr>
        <w:t xml:space="preserve"> </w:t>
      </w:r>
    </w:p>
    <w:p w14:paraId="088EFCF4" w14:textId="1C4FB549" w:rsidR="00C41579" w:rsidRPr="00572F4C" w:rsidRDefault="0073220E" w:rsidP="00572F4C">
      <w:pPr>
        <w:pStyle w:val="Heading1"/>
        <w:spacing w:before="0" w:after="120" w:line="276" w:lineRule="auto"/>
        <w:rPr>
          <w:rFonts w:ascii="Arial" w:hAnsi="Arial" w:cs="Arial"/>
          <w:sz w:val="22"/>
          <w:szCs w:val="22"/>
        </w:rPr>
      </w:pPr>
      <w:bookmarkStart w:id="42" w:name="_Toc70943224"/>
      <w:bookmarkEnd w:id="41"/>
      <w:r w:rsidRPr="00572F4C">
        <w:rPr>
          <w:rFonts w:ascii="Arial" w:hAnsi="Arial" w:cs="Arial"/>
          <w:sz w:val="22"/>
          <w:szCs w:val="22"/>
        </w:rPr>
        <w:t>References</w:t>
      </w:r>
      <w:bookmarkEnd w:id="42"/>
    </w:p>
    <w:p w14:paraId="708ACA6B" w14:textId="77777777" w:rsidR="00A865EB" w:rsidRPr="003D5E12" w:rsidRDefault="00A865EB" w:rsidP="00C57993">
      <w:pPr>
        <w:pStyle w:val="NoSpacing"/>
        <w:jc w:val="both"/>
        <w:rPr>
          <w:b/>
          <w:lang w:val="en-US" w:eastAsia="en-US" w:bidi="ar-SA"/>
        </w:rPr>
      </w:pPr>
    </w:p>
    <w:p w14:paraId="17846A67" w14:textId="5FA4F05C" w:rsidR="003D5E12" w:rsidRDefault="00A865EB" w:rsidP="000324D0">
      <w:pPr>
        <w:pStyle w:val="ListParagraph"/>
        <w:numPr>
          <w:ilvl w:val="0"/>
          <w:numId w:val="3"/>
        </w:numPr>
        <w:spacing w:after="0" w:line="240" w:lineRule="auto"/>
        <w:jc w:val="both"/>
        <w:rPr>
          <w:rFonts w:ascii="Arial" w:hAnsi="Arial" w:cs="Arial"/>
          <w:bCs/>
          <w:lang w:val="en-US" w:eastAsia="en-US" w:bidi="ar-SA"/>
        </w:rPr>
      </w:pPr>
      <w:r w:rsidRPr="003D5E12">
        <w:rPr>
          <w:rFonts w:ascii="Arial" w:hAnsi="Arial" w:cs="Arial"/>
          <w:bCs/>
          <w:lang w:val="en-US" w:eastAsia="en-US" w:bidi="ar-SA"/>
        </w:rPr>
        <w:t xml:space="preserve">IMF REO Sub Saharan Africa </w:t>
      </w:r>
      <w:r w:rsidR="00572F4C">
        <w:rPr>
          <w:rFonts w:ascii="Arial" w:hAnsi="Arial" w:cs="Arial"/>
          <w:bCs/>
          <w:lang w:val="en-US" w:eastAsia="en-US" w:bidi="ar-SA"/>
        </w:rPr>
        <w:t>(</w:t>
      </w:r>
      <w:r w:rsidR="003D5E12">
        <w:rPr>
          <w:rFonts w:ascii="Arial" w:hAnsi="Arial" w:cs="Arial"/>
          <w:bCs/>
          <w:lang w:val="en-US" w:eastAsia="en-US" w:bidi="ar-SA"/>
        </w:rPr>
        <w:t>April</w:t>
      </w:r>
      <w:r w:rsidR="0040655D" w:rsidRPr="003D5E12">
        <w:rPr>
          <w:rFonts w:ascii="Arial" w:hAnsi="Arial" w:cs="Arial"/>
          <w:bCs/>
          <w:lang w:val="en-US" w:eastAsia="en-US" w:bidi="ar-SA"/>
        </w:rPr>
        <w:t xml:space="preserve"> 20</w:t>
      </w:r>
      <w:r w:rsidR="003D5E12">
        <w:rPr>
          <w:rFonts w:ascii="Arial" w:hAnsi="Arial" w:cs="Arial"/>
          <w:bCs/>
          <w:lang w:val="en-US" w:eastAsia="en-US" w:bidi="ar-SA"/>
        </w:rPr>
        <w:t>2</w:t>
      </w:r>
      <w:r w:rsidR="0062687A">
        <w:rPr>
          <w:rFonts w:ascii="Arial" w:hAnsi="Arial" w:cs="Arial"/>
          <w:bCs/>
          <w:lang w:val="en-US" w:eastAsia="en-US" w:bidi="ar-SA"/>
        </w:rPr>
        <w:t>2</w:t>
      </w:r>
      <w:r w:rsidR="003D5E12">
        <w:rPr>
          <w:rFonts w:ascii="Arial" w:hAnsi="Arial" w:cs="Arial"/>
          <w:bCs/>
          <w:lang w:val="en-US" w:eastAsia="en-US" w:bidi="ar-SA"/>
        </w:rPr>
        <w:t xml:space="preserve">) </w:t>
      </w:r>
    </w:p>
    <w:p w14:paraId="4DF2AAE3" w14:textId="5A01D0D5" w:rsidR="003D5E12" w:rsidRDefault="003D5E12" w:rsidP="000324D0">
      <w:pPr>
        <w:pStyle w:val="ListParagraph"/>
        <w:numPr>
          <w:ilvl w:val="0"/>
          <w:numId w:val="3"/>
        </w:numPr>
        <w:spacing w:after="0" w:line="240" w:lineRule="auto"/>
        <w:jc w:val="both"/>
        <w:rPr>
          <w:rFonts w:ascii="Arial" w:hAnsi="Arial" w:cs="Arial"/>
          <w:bCs/>
          <w:lang w:val="en-US" w:eastAsia="en-US" w:bidi="ar-SA"/>
        </w:rPr>
      </w:pPr>
      <w:r w:rsidRPr="003D5E12">
        <w:rPr>
          <w:rFonts w:ascii="Arial" w:hAnsi="Arial" w:cs="Arial"/>
          <w:bCs/>
          <w:lang w:val="en-US" w:eastAsia="en-US" w:bidi="ar-SA"/>
        </w:rPr>
        <w:t xml:space="preserve">IMF REO Middle East and Central Asia </w:t>
      </w:r>
      <w:r w:rsidR="00572F4C">
        <w:rPr>
          <w:rFonts w:ascii="Arial" w:hAnsi="Arial" w:cs="Arial"/>
          <w:bCs/>
          <w:lang w:val="en-US" w:eastAsia="en-US" w:bidi="ar-SA"/>
        </w:rPr>
        <w:t>(</w:t>
      </w:r>
      <w:r w:rsidRPr="003D5E12">
        <w:rPr>
          <w:rFonts w:ascii="Arial" w:hAnsi="Arial" w:cs="Arial"/>
          <w:bCs/>
          <w:lang w:val="en-US" w:eastAsia="en-US" w:bidi="ar-SA"/>
        </w:rPr>
        <w:t>April 202</w:t>
      </w:r>
      <w:r w:rsidR="0062687A">
        <w:rPr>
          <w:rFonts w:ascii="Arial" w:hAnsi="Arial" w:cs="Arial"/>
          <w:bCs/>
          <w:lang w:val="en-US" w:eastAsia="en-US" w:bidi="ar-SA"/>
        </w:rPr>
        <w:t>2</w:t>
      </w:r>
      <w:r w:rsidR="00572F4C">
        <w:rPr>
          <w:rFonts w:ascii="Arial" w:hAnsi="Arial" w:cs="Arial"/>
          <w:bCs/>
          <w:lang w:val="en-US" w:eastAsia="en-US" w:bidi="ar-SA"/>
        </w:rPr>
        <w:t>)</w:t>
      </w:r>
      <w:r w:rsidRPr="003D5E12">
        <w:rPr>
          <w:rFonts w:ascii="Arial" w:hAnsi="Arial" w:cs="Arial"/>
          <w:bCs/>
          <w:lang w:val="en-US" w:eastAsia="en-US" w:bidi="ar-SA"/>
        </w:rPr>
        <w:t xml:space="preserve">; </w:t>
      </w:r>
    </w:p>
    <w:p w14:paraId="7192AC84" w14:textId="77777777" w:rsidR="003D5E12" w:rsidRDefault="003D5E12" w:rsidP="000324D0">
      <w:pPr>
        <w:pStyle w:val="ListParagraph"/>
        <w:numPr>
          <w:ilvl w:val="0"/>
          <w:numId w:val="3"/>
        </w:numPr>
        <w:spacing w:after="0" w:line="240" w:lineRule="auto"/>
        <w:jc w:val="both"/>
        <w:rPr>
          <w:rFonts w:ascii="Arial" w:hAnsi="Arial" w:cs="Arial"/>
          <w:bCs/>
          <w:lang w:val="en-US" w:eastAsia="en-US" w:bidi="ar-SA"/>
        </w:rPr>
      </w:pPr>
      <w:r w:rsidRPr="003D5E12">
        <w:rPr>
          <w:rFonts w:ascii="Arial" w:hAnsi="Arial" w:cs="Arial"/>
          <w:bCs/>
          <w:lang w:val="en-US" w:eastAsia="en-US" w:bidi="ar-SA"/>
        </w:rPr>
        <w:t xml:space="preserve">IMF </w:t>
      </w:r>
      <w:r w:rsidR="00E344E4">
        <w:rPr>
          <w:rFonts w:ascii="Arial" w:hAnsi="Arial" w:cs="Arial"/>
          <w:bCs/>
          <w:lang w:val="en-US" w:eastAsia="en-US" w:bidi="ar-SA"/>
        </w:rPr>
        <w:t xml:space="preserve">Article IV Consultations Staff </w:t>
      </w:r>
      <w:r w:rsidRPr="003D5E12">
        <w:rPr>
          <w:rFonts w:ascii="Arial" w:hAnsi="Arial" w:cs="Arial"/>
          <w:bCs/>
          <w:lang w:val="en-US" w:eastAsia="en-US" w:bidi="ar-SA"/>
        </w:rPr>
        <w:t>Country Reports</w:t>
      </w:r>
    </w:p>
    <w:p w14:paraId="7EF81B69" w14:textId="53594295" w:rsidR="00C41579" w:rsidRPr="00C54E9A" w:rsidRDefault="00F25F51" w:rsidP="00647D29">
      <w:pPr>
        <w:pStyle w:val="ListParagraph"/>
        <w:numPr>
          <w:ilvl w:val="0"/>
          <w:numId w:val="3"/>
        </w:numPr>
        <w:spacing w:after="0" w:line="240" w:lineRule="auto"/>
        <w:jc w:val="both"/>
        <w:rPr>
          <w:lang w:val="en-US"/>
        </w:rPr>
      </w:pPr>
      <w:r w:rsidRPr="00C54E9A">
        <w:rPr>
          <w:rFonts w:ascii="Arial" w:hAnsi="Arial" w:cs="Arial"/>
          <w:bCs/>
          <w:lang w:val="en-US" w:eastAsia="en-US" w:bidi="ar-SA"/>
        </w:rPr>
        <w:t>AfD</w:t>
      </w:r>
      <w:r w:rsidR="00104EC8" w:rsidRPr="00C54E9A">
        <w:rPr>
          <w:rFonts w:ascii="Arial" w:hAnsi="Arial" w:cs="Arial"/>
          <w:bCs/>
          <w:lang w:val="en-US" w:eastAsia="en-US" w:bidi="ar-SA"/>
        </w:rPr>
        <w:t>B</w:t>
      </w:r>
      <w:r w:rsidR="000E4BCE" w:rsidRPr="00C54E9A">
        <w:rPr>
          <w:rFonts w:ascii="Arial" w:hAnsi="Arial" w:cs="Arial"/>
          <w:bCs/>
          <w:lang w:val="en-US" w:eastAsia="en-US" w:bidi="ar-SA"/>
        </w:rPr>
        <w:t xml:space="preserve"> </w:t>
      </w:r>
      <w:r w:rsidR="00A865EB" w:rsidRPr="00C54E9A">
        <w:rPr>
          <w:rFonts w:ascii="Arial" w:hAnsi="Arial" w:cs="Arial"/>
          <w:bCs/>
          <w:lang w:val="en-US" w:eastAsia="en-US" w:bidi="ar-SA"/>
        </w:rPr>
        <w:t xml:space="preserve">African Economic Outlook </w:t>
      </w:r>
      <w:r w:rsidR="003D5E12" w:rsidRPr="00C54E9A">
        <w:rPr>
          <w:rFonts w:ascii="Arial" w:hAnsi="Arial" w:cs="Arial"/>
          <w:bCs/>
          <w:lang w:val="en-US" w:eastAsia="en-US" w:bidi="ar-SA"/>
        </w:rPr>
        <w:t>(</w:t>
      </w:r>
      <w:r w:rsidR="005A3F76">
        <w:rPr>
          <w:rFonts w:ascii="Arial" w:hAnsi="Arial" w:cs="Arial"/>
          <w:bCs/>
          <w:lang w:val="en-US" w:eastAsia="en-US" w:bidi="ar-SA"/>
        </w:rPr>
        <w:t xml:space="preserve">March </w:t>
      </w:r>
      <w:r w:rsidR="00A865EB" w:rsidRPr="00C54E9A">
        <w:rPr>
          <w:rFonts w:ascii="Arial" w:hAnsi="Arial" w:cs="Arial"/>
          <w:bCs/>
          <w:lang w:val="en-US" w:eastAsia="en-US" w:bidi="ar-SA"/>
        </w:rPr>
        <w:t>20</w:t>
      </w:r>
      <w:r w:rsidR="003D5E12" w:rsidRPr="00C54E9A">
        <w:rPr>
          <w:rFonts w:ascii="Arial" w:hAnsi="Arial" w:cs="Arial"/>
          <w:bCs/>
          <w:lang w:val="en-US" w:eastAsia="en-US" w:bidi="ar-SA"/>
        </w:rPr>
        <w:t>2</w:t>
      </w:r>
      <w:r w:rsidR="0062687A">
        <w:rPr>
          <w:rFonts w:ascii="Arial" w:hAnsi="Arial" w:cs="Arial"/>
          <w:bCs/>
          <w:lang w:val="en-US" w:eastAsia="en-US" w:bidi="ar-SA"/>
        </w:rPr>
        <w:t>2</w:t>
      </w:r>
      <w:r w:rsidR="003D5E12" w:rsidRPr="00C54E9A">
        <w:rPr>
          <w:rFonts w:ascii="Arial" w:hAnsi="Arial" w:cs="Arial"/>
          <w:bCs/>
          <w:lang w:val="en-US" w:eastAsia="en-US" w:bidi="ar-SA"/>
        </w:rPr>
        <w:t>)</w:t>
      </w:r>
    </w:p>
    <w:p w14:paraId="0F408F3F" w14:textId="77777777" w:rsidR="00C41579" w:rsidRPr="00B6509D" w:rsidRDefault="00C41579" w:rsidP="00C57993">
      <w:pPr>
        <w:pStyle w:val="NoSpacing"/>
        <w:jc w:val="both"/>
        <w:rPr>
          <w:lang w:val="en-US"/>
        </w:rPr>
      </w:pPr>
    </w:p>
    <w:sectPr w:rsidR="00C41579" w:rsidRPr="00B6509D" w:rsidSect="00A705E7">
      <w:pgSz w:w="11906" w:h="16838"/>
      <w:pgMar w:top="1259" w:right="1259" w:bottom="1259" w:left="1259"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8168F" w14:textId="77777777" w:rsidR="00D91282" w:rsidRDefault="00D91282" w:rsidP="003A54A5">
      <w:pPr>
        <w:spacing w:after="0" w:line="240" w:lineRule="auto"/>
      </w:pPr>
      <w:r>
        <w:separator/>
      </w:r>
    </w:p>
  </w:endnote>
  <w:endnote w:type="continuationSeparator" w:id="0">
    <w:p w14:paraId="540A2C66" w14:textId="77777777" w:rsidR="00D91282" w:rsidRDefault="00D91282" w:rsidP="003A5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50311"/>
      <w:docPartObj>
        <w:docPartGallery w:val="Page Numbers (Bottom of Page)"/>
        <w:docPartUnique/>
      </w:docPartObj>
    </w:sdtPr>
    <w:sdtEndPr>
      <w:rPr>
        <w:color w:val="7F7F7F" w:themeColor="background1" w:themeShade="7F"/>
        <w:spacing w:val="60"/>
      </w:rPr>
    </w:sdtEndPr>
    <w:sdtContent>
      <w:p w14:paraId="287A58EB" w14:textId="0BBABB59" w:rsidR="00572F4C" w:rsidRDefault="00572F4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32533" w:rsidRPr="00D32533">
          <w:rPr>
            <w:b/>
            <w:bCs/>
            <w:noProof/>
          </w:rPr>
          <w:t>10</w:t>
        </w:r>
        <w:r>
          <w:rPr>
            <w:b/>
            <w:bCs/>
            <w:noProof/>
          </w:rPr>
          <w:fldChar w:fldCharType="end"/>
        </w:r>
        <w:r>
          <w:rPr>
            <w:b/>
            <w:bCs/>
          </w:rPr>
          <w:t xml:space="preserve"> | </w:t>
        </w:r>
        <w:r>
          <w:rPr>
            <w:color w:val="7F7F7F" w:themeColor="background1" w:themeShade="7F"/>
            <w:spacing w:val="60"/>
          </w:rPr>
          <w:t>Page</w:t>
        </w:r>
      </w:p>
    </w:sdtContent>
  </w:sdt>
  <w:p w14:paraId="3F1045B3" w14:textId="77777777" w:rsidR="00572F4C" w:rsidRDefault="00572F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570518"/>
      <w:docPartObj>
        <w:docPartGallery w:val="Page Numbers (Bottom of Page)"/>
        <w:docPartUnique/>
      </w:docPartObj>
    </w:sdtPr>
    <w:sdtEndPr>
      <w:rPr>
        <w:color w:val="7F7F7F" w:themeColor="background1" w:themeShade="7F"/>
        <w:spacing w:val="60"/>
      </w:rPr>
    </w:sdtEndPr>
    <w:sdtContent>
      <w:p w14:paraId="386F6CD2" w14:textId="6A18728C" w:rsidR="00A705E7" w:rsidRDefault="00A705E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32533" w:rsidRPr="00D32533">
          <w:rPr>
            <w:b/>
            <w:bCs/>
            <w:noProof/>
          </w:rPr>
          <w:t>11</w:t>
        </w:r>
        <w:r>
          <w:rPr>
            <w:b/>
            <w:bCs/>
            <w:noProof/>
          </w:rPr>
          <w:fldChar w:fldCharType="end"/>
        </w:r>
        <w:r>
          <w:rPr>
            <w:b/>
            <w:bCs/>
          </w:rPr>
          <w:t xml:space="preserve"> | </w:t>
        </w:r>
        <w:r>
          <w:rPr>
            <w:color w:val="7F7F7F" w:themeColor="background1" w:themeShade="7F"/>
            <w:spacing w:val="60"/>
          </w:rPr>
          <w:t>Page</w:t>
        </w:r>
      </w:p>
    </w:sdtContent>
  </w:sdt>
  <w:p w14:paraId="4460F8B4" w14:textId="77777777" w:rsidR="001D7205" w:rsidRDefault="001D72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050555"/>
      <w:docPartObj>
        <w:docPartGallery w:val="Page Numbers (Bottom of Page)"/>
        <w:docPartUnique/>
      </w:docPartObj>
    </w:sdtPr>
    <w:sdtEndPr>
      <w:rPr>
        <w:color w:val="7F7F7F" w:themeColor="background1" w:themeShade="7F"/>
        <w:spacing w:val="60"/>
      </w:rPr>
    </w:sdtEndPr>
    <w:sdtContent>
      <w:p w14:paraId="30ABE83D" w14:textId="41048D27" w:rsidR="00572F4C" w:rsidRDefault="00572F4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32533" w:rsidRPr="00D32533">
          <w:rPr>
            <w:b/>
            <w:bCs/>
            <w:noProof/>
          </w:rPr>
          <w:t>0</w:t>
        </w:r>
        <w:r>
          <w:rPr>
            <w:b/>
            <w:bCs/>
            <w:noProof/>
          </w:rPr>
          <w:fldChar w:fldCharType="end"/>
        </w:r>
        <w:r>
          <w:rPr>
            <w:b/>
            <w:bCs/>
          </w:rPr>
          <w:t xml:space="preserve"> | </w:t>
        </w:r>
        <w:r>
          <w:rPr>
            <w:color w:val="7F7F7F" w:themeColor="background1" w:themeShade="7F"/>
            <w:spacing w:val="60"/>
          </w:rPr>
          <w:t>Page</w:t>
        </w:r>
      </w:p>
    </w:sdtContent>
  </w:sdt>
  <w:p w14:paraId="629D3CD7" w14:textId="77777777" w:rsidR="00572F4C" w:rsidRDefault="00572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4748B" w14:textId="77777777" w:rsidR="00D91282" w:rsidRDefault="00D91282" w:rsidP="003A54A5">
      <w:pPr>
        <w:spacing w:after="0" w:line="240" w:lineRule="auto"/>
      </w:pPr>
      <w:r>
        <w:separator/>
      </w:r>
    </w:p>
  </w:footnote>
  <w:footnote w:type="continuationSeparator" w:id="0">
    <w:p w14:paraId="2FD1DC9B" w14:textId="77777777" w:rsidR="00D91282" w:rsidRDefault="00D91282" w:rsidP="003A54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A6396"/>
    <w:multiLevelType w:val="hybridMultilevel"/>
    <w:tmpl w:val="13644E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BB51C8"/>
    <w:multiLevelType w:val="hybridMultilevel"/>
    <w:tmpl w:val="9500A3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03786E"/>
    <w:multiLevelType w:val="hybridMultilevel"/>
    <w:tmpl w:val="BBBCADDC"/>
    <w:lvl w:ilvl="0" w:tplc="01AA2B40">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9EA595A"/>
    <w:multiLevelType w:val="hybridMultilevel"/>
    <w:tmpl w:val="2E26C81C"/>
    <w:lvl w:ilvl="0" w:tplc="94CCDD22">
      <w:start w:val="1"/>
      <w:numFmt w:val="decimal"/>
      <w:lvlText w:val="%1."/>
      <w:lvlJc w:val="left"/>
      <w:pPr>
        <w:ind w:left="900" w:hanging="360"/>
      </w:pPr>
      <w:rPr>
        <w:rFonts w:ascii="Arial" w:hAnsi="Arial" w:cs="Arial" w:hint="default"/>
        <w:b w:val="0"/>
        <w:color w:val="auto"/>
        <w:lang w:val="en-US"/>
      </w:rPr>
    </w:lvl>
    <w:lvl w:ilvl="1" w:tplc="B3E63542">
      <w:start w:val="1"/>
      <w:numFmt w:val="lowerRoman"/>
      <w:lvlText w:val="(%2)"/>
      <w:lvlJc w:val="left"/>
      <w:pPr>
        <w:ind w:left="1080" w:hanging="360"/>
      </w:pPr>
    </w:lvl>
    <w:lvl w:ilvl="2" w:tplc="E708B5E6">
      <w:start w:val="1"/>
      <w:numFmt w:val="lowerRoman"/>
      <w:lvlText w:val="(%3)"/>
      <w:lvlJc w:val="right"/>
      <w:pPr>
        <w:ind w:left="1800" w:hanging="180"/>
      </w:pPr>
      <w:rPr>
        <w:rFonts w:ascii="Arial" w:eastAsia="Times New Roman" w:hAnsi="Arial" w:cs="Arial"/>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444786"/>
    <w:multiLevelType w:val="hybridMultilevel"/>
    <w:tmpl w:val="1F14A0C2"/>
    <w:lvl w:ilvl="0" w:tplc="F6DAC878">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31C106B5"/>
    <w:multiLevelType w:val="hybridMultilevel"/>
    <w:tmpl w:val="DCD8F05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327200F9"/>
    <w:multiLevelType w:val="hybridMultilevel"/>
    <w:tmpl w:val="21D8B72E"/>
    <w:lvl w:ilvl="0" w:tplc="EE302AB8">
      <w:start w:val="1"/>
      <w:numFmt w:val="lowerLetter"/>
      <w:lvlText w:val="%1)"/>
      <w:lvlJc w:val="left"/>
      <w:pPr>
        <w:ind w:left="990" w:hanging="360"/>
      </w:pPr>
      <w:rPr>
        <w:rFonts w:hint="default"/>
      </w:rPr>
    </w:lvl>
    <w:lvl w:ilvl="1" w:tplc="08090019">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7" w15:restartNumberingAfterBreak="0">
    <w:nsid w:val="37770AC8"/>
    <w:multiLevelType w:val="hybridMultilevel"/>
    <w:tmpl w:val="A412EC50"/>
    <w:lvl w:ilvl="0" w:tplc="3DCAC850">
      <w:start w:val="1"/>
      <w:numFmt w:val="upperLetter"/>
      <w:lvlText w:val="%1."/>
      <w:lvlJc w:val="left"/>
      <w:pPr>
        <w:ind w:left="63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3C264A30"/>
    <w:multiLevelType w:val="hybridMultilevel"/>
    <w:tmpl w:val="3222A6F4"/>
    <w:lvl w:ilvl="0" w:tplc="920E9626">
      <w:start w:val="1"/>
      <w:numFmt w:val="decimal"/>
      <w:lvlText w:val="%1."/>
      <w:lvlJc w:val="left"/>
      <w:pPr>
        <w:ind w:left="360" w:hanging="360"/>
      </w:pPr>
      <w:rPr>
        <w:rFonts w:hint="default"/>
        <w:b/>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4A4B58"/>
    <w:multiLevelType w:val="hybridMultilevel"/>
    <w:tmpl w:val="531CEB9A"/>
    <w:lvl w:ilvl="0" w:tplc="630653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F16523"/>
    <w:multiLevelType w:val="hybridMultilevel"/>
    <w:tmpl w:val="C79E9DEA"/>
    <w:lvl w:ilvl="0" w:tplc="2F22A3CE">
      <w:start w:val="1"/>
      <w:numFmt w:val="low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426C6427"/>
    <w:multiLevelType w:val="hybridMultilevel"/>
    <w:tmpl w:val="EA3A64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97534B"/>
    <w:multiLevelType w:val="hybridMultilevel"/>
    <w:tmpl w:val="21D8B72E"/>
    <w:lvl w:ilvl="0" w:tplc="EE302AB8">
      <w:start w:val="1"/>
      <w:numFmt w:val="lowerLetter"/>
      <w:lvlText w:val="%1)"/>
      <w:lvlJc w:val="left"/>
      <w:pPr>
        <w:ind w:left="990" w:hanging="360"/>
      </w:pPr>
      <w:rPr>
        <w:rFonts w:hint="default"/>
      </w:rPr>
    </w:lvl>
    <w:lvl w:ilvl="1" w:tplc="08090019">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3" w15:restartNumberingAfterBreak="0">
    <w:nsid w:val="4BF70533"/>
    <w:multiLevelType w:val="hybridMultilevel"/>
    <w:tmpl w:val="EF10E522"/>
    <w:lvl w:ilvl="0" w:tplc="3A04258C">
      <w:start w:val="2"/>
      <w:numFmt w:val="decimal"/>
      <w:lvlText w:val="%1"/>
      <w:lvlJc w:val="left"/>
      <w:pPr>
        <w:ind w:left="630" w:hanging="360"/>
      </w:pPr>
      <w:rPr>
        <w:rFonts w:hint="default"/>
      </w:rPr>
    </w:lvl>
    <w:lvl w:ilvl="1" w:tplc="08090019">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4" w15:restartNumberingAfterBreak="0">
    <w:nsid w:val="53D022B8"/>
    <w:multiLevelType w:val="hybridMultilevel"/>
    <w:tmpl w:val="ECA8A3F6"/>
    <w:lvl w:ilvl="0" w:tplc="FBA6D8CE">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5" w15:restartNumberingAfterBreak="0">
    <w:nsid w:val="7BBE7877"/>
    <w:multiLevelType w:val="hybridMultilevel"/>
    <w:tmpl w:val="EF10E522"/>
    <w:lvl w:ilvl="0" w:tplc="3A04258C">
      <w:start w:val="2"/>
      <w:numFmt w:val="decimal"/>
      <w:lvlText w:val="%1"/>
      <w:lvlJc w:val="left"/>
      <w:pPr>
        <w:ind w:left="630" w:hanging="360"/>
      </w:pPr>
      <w:rPr>
        <w:rFonts w:hint="default"/>
      </w:rPr>
    </w:lvl>
    <w:lvl w:ilvl="1" w:tplc="08090019">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num w:numId="1" w16cid:durableId="2017223573">
    <w:abstractNumId w:val="11"/>
  </w:num>
  <w:num w:numId="2" w16cid:durableId="357120423">
    <w:abstractNumId w:val="0"/>
  </w:num>
  <w:num w:numId="3" w16cid:durableId="1229069891">
    <w:abstractNumId w:val="5"/>
  </w:num>
  <w:num w:numId="4" w16cid:durableId="1754470511">
    <w:abstractNumId w:val="7"/>
  </w:num>
  <w:num w:numId="5" w16cid:durableId="645210900">
    <w:abstractNumId w:val="10"/>
  </w:num>
  <w:num w:numId="6" w16cid:durableId="1990397900">
    <w:abstractNumId w:val="9"/>
  </w:num>
  <w:num w:numId="7" w16cid:durableId="1078093373">
    <w:abstractNumId w:val="8"/>
  </w:num>
  <w:num w:numId="8" w16cid:durableId="770978614">
    <w:abstractNumId w:val="2"/>
  </w:num>
  <w:num w:numId="9" w16cid:durableId="2105371225">
    <w:abstractNumId w:val="4"/>
  </w:num>
  <w:num w:numId="10" w16cid:durableId="574364656">
    <w:abstractNumId w:val="13"/>
  </w:num>
  <w:num w:numId="11" w16cid:durableId="1302005403">
    <w:abstractNumId w:val="14"/>
  </w:num>
  <w:num w:numId="12" w16cid:durableId="18775058">
    <w:abstractNumId w:val="12"/>
  </w:num>
  <w:num w:numId="13" w16cid:durableId="287662416">
    <w:abstractNumId w:val="6"/>
  </w:num>
  <w:num w:numId="14" w16cid:durableId="1944220898">
    <w:abstractNumId w:val="1"/>
  </w:num>
  <w:num w:numId="15" w16cid:durableId="1866291441">
    <w:abstractNumId w:val="15"/>
  </w:num>
  <w:num w:numId="16" w16cid:durableId="79032633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yB5OmJqbGxuZKOkrBqcXFmfl5IAWGtQD8t0moLAAAAA=="/>
  </w:docVars>
  <w:rsids>
    <w:rsidRoot w:val="00884593"/>
    <w:rsid w:val="00000494"/>
    <w:rsid w:val="000019FB"/>
    <w:rsid w:val="00001AC8"/>
    <w:rsid w:val="000025C3"/>
    <w:rsid w:val="000029FD"/>
    <w:rsid w:val="000045A4"/>
    <w:rsid w:val="000045CA"/>
    <w:rsid w:val="000058C7"/>
    <w:rsid w:val="00010970"/>
    <w:rsid w:val="00011181"/>
    <w:rsid w:val="0001131A"/>
    <w:rsid w:val="000138AA"/>
    <w:rsid w:val="00013E37"/>
    <w:rsid w:val="0001446F"/>
    <w:rsid w:val="0001495F"/>
    <w:rsid w:val="00016247"/>
    <w:rsid w:val="00016D17"/>
    <w:rsid w:val="000175CE"/>
    <w:rsid w:val="00020F0E"/>
    <w:rsid w:val="00022B3A"/>
    <w:rsid w:val="00022EC0"/>
    <w:rsid w:val="000230B4"/>
    <w:rsid w:val="000236E7"/>
    <w:rsid w:val="00023E1A"/>
    <w:rsid w:val="00025873"/>
    <w:rsid w:val="0002606A"/>
    <w:rsid w:val="00027368"/>
    <w:rsid w:val="00027EFA"/>
    <w:rsid w:val="000304A6"/>
    <w:rsid w:val="000307EA"/>
    <w:rsid w:val="000324D0"/>
    <w:rsid w:val="0003271E"/>
    <w:rsid w:val="000339A7"/>
    <w:rsid w:val="000339FD"/>
    <w:rsid w:val="0003504E"/>
    <w:rsid w:val="00037A20"/>
    <w:rsid w:val="00040115"/>
    <w:rsid w:val="00040BB8"/>
    <w:rsid w:val="00040DF5"/>
    <w:rsid w:val="00042759"/>
    <w:rsid w:val="00043844"/>
    <w:rsid w:val="00043C54"/>
    <w:rsid w:val="000450BB"/>
    <w:rsid w:val="00045CD5"/>
    <w:rsid w:val="00046808"/>
    <w:rsid w:val="00051D0A"/>
    <w:rsid w:val="00052842"/>
    <w:rsid w:val="0005404F"/>
    <w:rsid w:val="00054719"/>
    <w:rsid w:val="000553F4"/>
    <w:rsid w:val="00055F7A"/>
    <w:rsid w:val="0006120B"/>
    <w:rsid w:val="0006191E"/>
    <w:rsid w:val="00064FEB"/>
    <w:rsid w:val="00065A9A"/>
    <w:rsid w:val="00072EDE"/>
    <w:rsid w:val="00073B3D"/>
    <w:rsid w:val="0007622E"/>
    <w:rsid w:val="00077800"/>
    <w:rsid w:val="000800A5"/>
    <w:rsid w:val="00080A38"/>
    <w:rsid w:val="00084E1B"/>
    <w:rsid w:val="00085E1C"/>
    <w:rsid w:val="00086E4F"/>
    <w:rsid w:val="0008724D"/>
    <w:rsid w:val="000878D9"/>
    <w:rsid w:val="000924A7"/>
    <w:rsid w:val="0009292D"/>
    <w:rsid w:val="00092AAE"/>
    <w:rsid w:val="00094722"/>
    <w:rsid w:val="00094A58"/>
    <w:rsid w:val="000961A3"/>
    <w:rsid w:val="000A0BB8"/>
    <w:rsid w:val="000A159A"/>
    <w:rsid w:val="000A2EA4"/>
    <w:rsid w:val="000A35BA"/>
    <w:rsid w:val="000A3E8F"/>
    <w:rsid w:val="000A4CE4"/>
    <w:rsid w:val="000A63C3"/>
    <w:rsid w:val="000A64A7"/>
    <w:rsid w:val="000A66FF"/>
    <w:rsid w:val="000B2E70"/>
    <w:rsid w:val="000B38CC"/>
    <w:rsid w:val="000B474D"/>
    <w:rsid w:val="000B5D72"/>
    <w:rsid w:val="000B626A"/>
    <w:rsid w:val="000B6B4F"/>
    <w:rsid w:val="000C148C"/>
    <w:rsid w:val="000C1F8C"/>
    <w:rsid w:val="000C3592"/>
    <w:rsid w:val="000C43A7"/>
    <w:rsid w:val="000C5A78"/>
    <w:rsid w:val="000C7F66"/>
    <w:rsid w:val="000D077E"/>
    <w:rsid w:val="000D50E9"/>
    <w:rsid w:val="000D5C4D"/>
    <w:rsid w:val="000D71DF"/>
    <w:rsid w:val="000D7A7C"/>
    <w:rsid w:val="000D7BE5"/>
    <w:rsid w:val="000E033E"/>
    <w:rsid w:val="000E23E0"/>
    <w:rsid w:val="000E2A0D"/>
    <w:rsid w:val="000E2CE5"/>
    <w:rsid w:val="000E4BCE"/>
    <w:rsid w:val="000F0060"/>
    <w:rsid w:val="000F0B11"/>
    <w:rsid w:val="000F1829"/>
    <w:rsid w:val="000F1AA3"/>
    <w:rsid w:val="000F3BB9"/>
    <w:rsid w:val="000F46E9"/>
    <w:rsid w:val="000F574B"/>
    <w:rsid w:val="000F67BA"/>
    <w:rsid w:val="001006CB"/>
    <w:rsid w:val="00100826"/>
    <w:rsid w:val="00103F9B"/>
    <w:rsid w:val="0010458B"/>
    <w:rsid w:val="00104EC8"/>
    <w:rsid w:val="001052C2"/>
    <w:rsid w:val="0010549A"/>
    <w:rsid w:val="00107083"/>
    <w:rsid w:val="001076FB"/>
    <w:rsid w:val="001108AC"/>
    <w:rsid w:val="0011098A"/>
    <w:rsid w:val="00114D30"/>
    <w:rsid w:val="0011612F"/>
    <w:rsid w:val="001176D2"/>
    <w:rsid w:val="0011772B"/>
    <w:rsid w:val="00117B01"/>
    <w:rsid w:val="00120BC1"/>
    <w:rsid w:val="00121CE3"/>
    <w:rsid w:val="00121E86"/>
    <w:rsid w:val="001225B6"/>
    <w:rsid w:val="00123587"/>
    <w:rsid w:val="001244E4"/>
    <w:rsid w:val="00125DA7"/>
    <w:rsid w:val="00126745"/>
    <w:rsid w:val="001312B7"/>
    <w:rsid w:val="001324FC"/>
    <w:rsid w:val="00134EBB"/>
    <w:rsid w:val="001357B8"/>
    <w:rsid w:val="00136107"/>
    <w:rsid w:val="00136171"/>
    <w:rsid w:val="00140934"/>
    <w:rsid w:val="00141DF3"/>
    <w:rsid w:val="00141EC4"/>
    <w:rsid w:val="001424BE"/>
    <w:rsid w:val="00143657"/>
    <w:rsid w:val="001448B5"/>
    <w:rsid w:val="001469CA"/>
    <w:rsid w:val="00147387"/>
    <w:rsid w:val="0014750E"/>
    <w:rsid w:val="00150042"/>
    <w:rsid w:val="00151FD9"/>
    <w:rsid w:val="0015217F"/>
    <w:rsid w:val="00154FE5"/>
    <w:rsid w:val="0016046B"/>
    <w:rsid w:val="0016124F"/>
    <w:rsid w:val="00162879"/>
    <w:rsid w:val="001631B1"/>
    <w:rsid w:val="00163282"/>
    <w:rsid w:val="00172BCC"/>
    <w:rsid w:val="00173D15"/>
    <w:rsid w:val="00173E16"/>
    <w:rsid w:val="00174F4C"/>
    <w:rsid w:val="00177380"/>
    <w:rsid w:val="00181439"/>
    <w:rsid w:val="00181FAA"/>
    <w:rsid w:val="00182767"/>
    <w:rsid w:val="00185493"/>
    <w:rsid w:val="001900F7"/>
    <w:rsid w:val="00190D46"/>
    <w:rsid w:val="00194379"/>
    <w:rsid w:val="00194FE1"/>
    <w:rsid w:val="00195E39"/>
    <w:rsid w:val="001A37BA"/>
    <w:rsid w:val="001A42FE"/>
    <w:rsid w:val="001A44F6"/>
    <w:rsid w:val="001A4F78"/>
    <w:rsid w:val="001A7612"/>
    <w:rsid w:val="001B02BD"/>
    <w:rsid w:val="001B1EDC"/>
    <w:rsid w:val="001B506E"/>
    <w:rsid w:val="001C2C48"/>
    <w:rsid w:val="001C4475"/>
    <w:rsid w:val="001C44EF"/>
    <w:rsid w:val="001C4564"/>
    <w:rsid w:val="001C46DD"/>
    <w:rsid w:val="001C4730"/>
    <w:rsid w:val="001C4B62"/>
    <w:rsid w:val="001D242A"/>
    <w:rsid w:val="001D287C"/>
    <w:rsid w:val="001D3A63"/>
    <w:rsid w:val="001D4615"/>
    <w:rsid w:val="001D5949"/>
    <w:rsid w:val="001D61F7"/>
    <w:rsid w:val="001D7205"/>
    <w:rsid w:val="001D7292"/>
    <w:rsid w:val="001E235F"/>
    <w:rsid w:val="001E2667"/>
    <w:rsid w:val="001E2B01"/>
    <w:rsid w:val="001E2E7F"/>
    <w:rsid w:val="001E5864"/>
    <w:rsid w:val="001E6D9F"/>
    <w:rsid w:val="001E7323"/>
    <w:rsid w:val="001F1D62"/>
    <w:rsid w:val="001F4D1E"/>
    <w:rsid w:val="001F4FAE"/>
    <w:rsid w:val="001F5D1C"/>
    <w:rsid w:val="001F6616"/>
    <w:rsid w:val="001F7C96"/>
    <w:rsid w:val="00202013"/>
    <w:rsid w:val="0020340B"/>
    <w:rsid w:val="00204255"/>
    <w:rsid w:val="002045B0"/>
    <w:rsid w:val="00204BEC"/>
    <w:rsid w:val="002062EF"/>
    <w:rsid w:val="002078CA"/>
    <w:rsid w:val="00210A33"/>
    <w:rsid w:val="002116FC"/>
    <w:rsid w:val="00211E1F"/>
    <w:rsid w:val="002128DF"/>
    <w:rsid w:val="00213056"/>
    <w:rsid w:val="00213679"/>
    <w:rsid w:val="00213854"/>
    <w:rsid w:val="00214A77"/>
    <w:rsid w:val="002174D5"/>
    <w:rsid w:val="00220271"/>
    <w:rsid w:val="00220B44"/>
    <w:rsid w:val="00225954"/>
    <w:rsid w:val="0022707D"/>
    <w:rsid w:val="00227EB3"/>
    <w:rsid w:val="00230267"/>
    <w:rsid w:val="0023427B"/>
    <w:rsid w:val="002343ED"/>
    <w:rsid w:val="00234820"/>
    <w:rsid w:val="00235581"/>
    <w:rsid w:val="00235EAA"/>
    <w:rsid w:val="00237274"/>
    <w:rsid w:val="00241608"/>
    <w:rsid w:val="00242AAD"/>
    <w:rsid w:val="00244362"/>
    <w:rsid w:val="002469A1"/>
    <w:rsid w:val="00255465"/>
    <w:rsid w:val="00255653"/>
    <w:rsid w:val="00256074"/>
    <w:rsid w:val="002568C2"/>
    <w:rsid w:val="002613BF"/>
    <w:rsid w:val="00262CFD"/>
    <w:rsid w:val="00264219"/>
    <w:rsid w:val="00265A98"/>
    <w:rsid w:val="00267139"/>
    <w:rsid w:val="002762C7"/>
    <w:rsid w:val="00276602"/>
    <w:rsid w:val="00276CDC"/>
    <w:rsid w:val="0027791B"/>
    <w:rsid w:val="002800E7"/>
    <w:rsid w:val="0028271E"/>
    <w:rsid w:val="00282D9D"/>
    <w:rsid w:val="002845F6"/>
    <w:rsid w:val="0028705D"/>
    <w:rsid w:val="002874B7"/>
    <w:rsid w:val="00290A50"/>
    <w:rsid w:val="00291431"/>
    <w:rsid w:val="002915A9"/>
    <w:rsid w:val="00291DD8"/>
    <w:rsid w:val="00291DE2"/>
    <w:rsid w:val="0029262A"/>
    <w:rsid w:val="00292898"/>
    <w:rsid w:val="00292D6B"/>
    <w:rsid w:val="00293964"/>
    <w:rsid w:val="00293A5A"/>
    <w:rsid w:val="00295280"/>
    <w:rsid w:val="00295C3E"/>
    <w:rsid w:val="00295D8E"/>
    <w:rsid w:val="00296BC3"/>
    <w:rsid w:val="00296FD3"/>
    <w:rsid w:val="002973E6"/>
    <w:rsid w:val="002A0BD8"/>
    <w:rsid w:val="002A302B"/>
    <w:rsid w:val="002A4A9D"/>
    <w:rsid w:val="002A5CBC"/>
    <w:rsid w:val="002A694F"/>
    <w:rsid w:val="002A7620"/>
    <w:rsid w:val="002A78A0"/>
    <w:rsid w:val="002B1EE9"/>
    <w:rsid w:val="002B20D3"/>
    <w:rsid w:val="002B5605"/>
    <w:rsid w:val="002B5740"/>
    <w:rsid w:val="002B7194"/>
    <w:rsid w:val="002B7CB7"/>
    <w:rsid w:val="002C20DD"/>
    <w:rsid w:val="002C23E1"/>
    <w:rsid w:val="002C3153"/>
    <w:rsid w:val="002C3EB9"/>
    <w:rsid w:val="002C53A9"/>
    <w:rsid w:val="002C63B7"/>
    <w:rsid w:val="002C79A0"/>
    <w:rsid w:val="002D0580"/>
    <w:rsid w:val="002D2B54"/>
    <w:rsid w:val="002D2D79"/>
    <w:rsid w:val="002D3224"/>
    <w:rsid w:val="002D32F5"/>
    <w:rsid w:val="002D3CE1"/>
    <w:rsid w:val="002D498F"/>
    <w:rsid w:val="002D79BE"/>
    <w:rsid w:val="002E1CD9"/>
    <w:rsid w:val="002E3542"/>
    <w:rsid w:val="002E37F5"/>
    <w:rsid w:val="002E4A05"/>
    <w:rsid w:val="002E4F30"/>
    <w:rsid w:val="002E6142"/>
    <w:rsid w:val="002E6AEB"/>
    <w:rsid w:val="002F0FF1"/>
    <w:rsid w:val="002F1CE0"/>
    <w:rsid w:val="002F301F"/>
    <w:rsid w:val="002F357C"/>
    <w:rsid w:val="002F3AE2"/>
    <w:rsid w:val="003011B5"/>
    <w:rsid w:val="003025A6"/>
    <w:rsid w:val="00302867"/>
    <w:rsid w:val="0030356E"/>
    <w:rsid w:val="003068B0"/>
    <w:rsid w:val="00310CAB"/>
    <w:rsid w:val="00313D55"/>
    <w:rsid w:val="003145ED"/>
    <w:rsid w:val="00315626"/>
    <w:rsid w:val="00315911"/>
    <w:rsid w:val="00316910"/>
    <w:rsid w:val="00316FEE"/>
    <w:rsid w:val="003209D5"/>
    <w:rsid w:val="00324D6F"/>
    <w:rsid w:val="00324E7C"/>
    <w:rsid w:val="00327D11"/>
    <w:rsid w:val="00327D22"/>
    <w:rsid w:val="0033022C"/>
    <w:rsid w:val="003317FC"/>
    <w:rsid w:val="00332E79"/>
    <w:rsid w:val="00332EDB"/>
    <w:rsid w:val="003334DF"/>
    <w:rsid w:val="00333C6A"/>
    <w:rsid w:val="0033531B"/>
    <w:rsid w:val="00337DAF"/>
    <w:rsid w:val="003404EA"/>
    <w:rsid w:val="0034072D"/>
    <w:rsid w:val="0034099E"/>
    <w:rsid w:val="00341575"/>
    <w:rsid w:val="00342C99"/>
    <w:rsid w:val="003434BF"/>
    <w:rsid w:val="003468D9"/>
    <w:rsid w:val="00347E6A"/>
    <w:rsid w:val="00351FB8"/>
    <w:rsid w:val="00352529"/>
    <w:rsid w:val="00353E33"/>
    <w:rsid w:val="00355C63"/>
    <w:rsid w:val="003567EA"/>
    <w:rsid w:val="0036000E"/>
    <w:rsid w:val="00360165"/>
    <w:rsid w:val="0036097E"/>
    <w:rsid w:val="00360DF1"/>
    <w:rsid w:val="00360FEC"/>
    <w:rsid w:val="003634A2"/>
    <w:rsid w:val="00363747"/>
    <w:rsid w:val="00370940"/>
    <w:rsid w:val="00371457"/>
    <w:rsid w:val="003732A6"/>
    <w:rsid w:val="003732FA"/>
    <w:rsid w:val="003736E7"/>
    <w:rsid w:val="00374D4C"/>
    <w:rsid w:val="00376987"/>
    <w:rsid w:val="0038074B"/>
    <w:rsid w:val="00380C2F"/>
    <w:rsid w:val="003851ED"/>
    <w:rsid w:val="0038541F"/>
    <w:rsid w:val="00385EA0"/>
    <w:rsid w:val="00391358"/>
    <w:rsid w:val="00391A98"/>
    <w:rsid w:val="00392EBA"/>
    <w:rsid w:val="0039504E"/>
    <w:rsid w:val="003958B9"/>
    <w:rsid w:val="0039737B"/>
    <w:rsid w:val="003A34D8"/>
    <w:rsid w:val="003A3790"/>
    <w:rsid w:val="003A54A5"/>
    <w:rsid w:val="003A5866"/>
    <w:rsid w:val="003A5BE6"/>
    <w:rsid w:val="003B017E"/>
    <w:rsid w:val="003B2D80"/>
    <w:rsid w:val="003B338A"/>
    <w:rsid w:val="003B3768"/>
    <w:rsid w:val="003B7E37"/>
    <w:rsid w:val="003C10E3"/>
    <w:rsid w:val="003C2E04"/>
    <w:rsid w:val="003C367B"/>
    <w:rsid w:val="003C4276"/>
    <w:rsid w:val="003D0A91"/>
    <w:rsid w:val="003D2210"/>
    <w:rsid w:val="003D2F8C"/>
    <w:rsid w:val="003D3BE7"/>
    <w:rsid w:val="003D43C3"/>
    <w:rsid w:val="003D5E12"/>
    <w:rsid w:val="003E02ED"/>
    <w:rsid w:val="003E17C9"/>
    <w:rsid w:val="003E1823"/>
    <w:rsid w:val="003E1C19"/>
    <w:rsid w:val="003E38AE"/>
    <w:rsid w:val="003E7C26"/>
    <w:rsid w:val="003E7F90"/>
    <w:rsid w:val="003F0C1B"/>
    <w:rsid w:val="003F1AE5"/>
    <w:rsid w:val="003F1E61"/>
    <w:rsid w:val="003F29D2"/>
    <w:rsid w:val="003F3F71"/>
    <w:rsid w:val="003F4E19"/>
    <w:rsid w:val="003F6264"/>
    <w:rsid w:val="003F7511"/>
    <w:rsid w:val="003F78CA"/>
    <w:rsid w:val="004040BC"/>
    <w:rsid w:val="00405587"/>
    <w:rsid w:val="0040655D"/>
    <w:rsid w:val="00413567"/>
    <w:rsid w:val="0041409F"/>
    <w:rsid w:val="00415D60"/>
    <w:rsid w:val="0041663A"/>
    <w:rsid w:val="004167BF"/>
    <w:rsid w:val="004200AB"/>
    <w:rsid w:val="00420B30"/>
    <w:rsid w:val="00423702"/>
    <w:rsid w:val="00424946"/>
    <w:rsid w:val="0042500C"/>
    <w:rsid w:val="00426145"/>
    <w:rsid w:val="00427763"/>
    <w:rsid w:val="004301EA"/>
    <w:rsid w:val="00431E73"/>
    <w:rsid w:val="0043343C"/>
    <w:rsid w:val="00435347"/>
    <w:rsid w:val="00436B75"/>
    <w:rsid w:val="004373B2"/>
    <w:rsid w:val="00437F91"/>
    <w:rsid w:val="004401B0"/>
    <w:rsid w:val="00442807"/>
    <w:rsid w:val="00443DF3"/>
    <w:rsid w:val="00444D24"/>
    <w:rsid w:val="00445073"/>
    <w:rsid w:val="00447C4F"/>
    <w:rsid w:val="00447C81"/>
    <w:rsid w:val="0045066A"/>
    <w:rsid w:val="004518A1"/>
    <w:rsid w:val="00451DE2"/>
    <w:rsid w:val="00452A65"/>
    <w:rsid w:val="00453492"/>
    <w:rsid w:val="00455219"/>
    <w:rsid w:val="004565D5"/>
    <w:rsid w:val="0045727B"/>
    <w:rsid w:val="00461091"/>
    <w:rsid w:val="0046122B"/>
    <w:rsid w:val="004623BD"/>
    <w:rsid w:val="00462B0C"/>
    <w:rsid w:val="00463214"/>
    <w:rsid w:val="00463718"/>
    <w:rsid w:val="00464044"/>
    <w:rsid w:val="00466494"/>
    <w:rsid w:val="0046654A"/>
    <w:rsid w:val="0046685D"/>
    <w:rsid w:val="00466D72"/>
    <w:rsid w:val="00466E43"/>
    <w:rsid w:val="00467D11"/>
    <w:rsid w:val="004721BB"/>
    <w:rsid w:val="00472F24"/>
    <w:rsid w:val="00473249"/>
    <w:rsid w:val="00473396"/>
    <w:rsid w:val="00476761"/>
    <w:rsid w:val="00477DF6"/>
    <w:rsid w:val="00477E6D"/>
    <w:rsid w:val="00480326"/>
    <w:rsid w:val="0048083B"/>
    <w:rsid w:val="00480F7A"/>
    <w:rsid w:val="004810A6"/>
    <w:rsid w:val="0048200F"/>
    <w:rsid w:val="004851B9"/>
    <w:rsid w:val="00486DFA"/>
    <w:rsid w:val="00487518"/>
    <w:rsid w:val="0049499E"/>
    <w:rsid w:val="00497320"/>
    <w:rsid w:val="004A02B1"/>
    <w:rsid w:val="004A05A2"/>
    <w:rsid w:val="004A0E4C"/>
    <w:rsid w:val="004A1A58"/>
    <w:rsid w:val="004A1B81"/>
    <w:rsid w:val="004A2053"/>
    <w:rsid w:val="004A4B2C"/>
    <w:rsid w:val="004A56D4"/>
    <w:rsid w:val="004A666E"/>
    <w:rsid w:val="004A6D93"/>
    <w:rsid w:val="004B1979"/>
    <w:rsid w:val="004B218C"/>
    <w:rsid w:val="004B4D8E"/>
    <w:rsid w:val="004B5332"/>
    <w:rsid w:val="004B6540"/>
    <w:rsid w:val="004B7018"/>
    <w:rsid w:val="004C07F8"/>
    <w:rsid w:val="004C194C"/>
    <w:rsid w:val="004C34DA"/>
    <w:rsid w:val="004C36C5"/>
    <w:rsid w:val="004C3D8D"/>
    <w:rsid w:val="004C481E"/>
    <w:rsid w:val="004C6F8E"/>
    <w:rsid w:val="004D2634"/>
    <w:rsid w:val="004D3D65"/>
    <w:rsid w:val="004D3D6D"/>
    <w:rsid w:val="004D4A68"/>
    <w:rsid w:val="004D500E"/>
    <w:rsid w:val="004D50BF"/>
    <w:rsid w:val="004D7915"/>
    <w:rsid w:val="004E29E1"/>
    <w:rsid w:val="004E3B25"/>
    <w:rsid w:val="004E7F16"/>
    <w:rsid w:val="004F0300"/>
    <w:rsid w:val="004F140E"/>
    <w:rsid w:val="004F223B"/>
    <w:rsid w:val="004F2B6D"/>
    <w:rsid w:val="004F3E21"/>
    <w:rsid w:val="004F5177"/>
    <w:rsid w:val="004F5DB9"/>
    <w:rsid w:val="004F6134"/>
    <w:rsid w:val="004F6998"/>
    <w:rsid w:val="004F6A48"/>
    <w:rsid w:val="004F706C"/>
    <w:rsid w:val="00501AE7"/>
    <w:rsid w:val="00501D40"/>
    <w:rsid w:val="00503E79"/>
    <w:rsid w:val="005049C5"/>
    <w:rsid w:val="00505444"/>
    <w:rsid w:val="005067B4"/>
    <w:rsid w:val="00506C6E"/>
    <w:rsid w:val="005140BF"/>
    <w:rsid w:val="005142A8"/>
    <w:rsid w:val="0051495F"/>
    <w:rsid w:val="00514D6D"/>
    <w:rsid w:val="00515E13"/>
    <w:rsid w:val="005166ED"/>
    <w:rsid w:val="00517088"/>
    <w:rsid w:val="00517E69"/>
    <w:rsid w:val="0052344D"/>
    <w:rsid w:val="005240FC"/>
    <w:rsid w:val="00524730"/>
    <w:rsid w:val="005252FC"/>
    <w:rsid w:val="0052543D"/>
    <w:rsid w:val="00525739"/>
    <w:rsid w:val="005275A7"/>
    <w:rsid w:val="00527FCE"/>
    <w:rsid w:val="00533CAA"/>
    <w:rsid w:val="0053691F"/>
    <w:rsid w:val="00541331"/>
    <w:rsid w:val="00543D10"/>
    <w:rsid w:val="0054578B"/>
    <w:rsid w:val="0054677B"/>
    <w:rsid w:val="00546E86"/>
    <w:rsid w:val="00546F89"/>
    <w:rsid w:val="005470E3"/>
    <w:rsid w:val="00552496"/>
    <w:rsid w:val="00553498"/>
    <w:rsid w:val="00555B19"/>
    <w:rsid w:val="005573DD"/>
    <w:rsid w:val="00561ABD"/>
    <w:rsid w:val="005623AB"/>
    <w:rsid w:val="0056297E"/>
    <w:rsid w:val="005639C1"/>
    <w:rsid w:val="005644B6"/>
    <w:rsid w:val="00564881"/>
    <w:rsid w:val="00564B52"/>
    <w:rsid w:val="005670FD"/>
    <w:rsid w:val="00567501"/>
    <w:rsid w:val="00567670"/>
    <w:rsid w:val="00567B51"/>
    <w:rsid w:val="005704B5"/>
    <w:rsid w:val="00570C88"/>
    <w:rsid w:val="0057203B"/>
    <w:rsid w:val="0057206E"/>
    <w:rsid w:val="005729D0"/>
    <w:rsid w:val="00572F4C"/>
    <w:rsid w:val="00577349"/>
    <w:rsid w:val="005773A9"/>
    <w:rsid w:val="0058048F"/>
    <w:rsid w:val="00583E07"/>
    <w:rsid w:val="00583E9F"/>
    <w:rsid w:val="00584C29"/>
    <w:rsid w:val="00585491"/>
    <w:rsid w:val="005864E0"/>
    <w:rsid w:val="0059072E"/>
    <w:rsid w:val="00590D57"/>
    <w:rsid w:val="00591847"/>
    <w:rsid w:val="00591856"/>
    <w:rsid w:val="005918AA"/>
    <w:rsid w:val="00592517"/>
    <w:rsid w:val="00593FB5"/>
    <w:rsid w:val="005940E1"/>
    <w:rsid w:val="00595AD7"/>
    <w:rsid w:val="00596624"/>
    <w:rsid w:val="00596A68"/>
    <w:rsid w:val="005A19A8"/>
    <w:rsid w:val="005A2821"/>
    <w:rsid w:val="005A3D22"/>
    <w:rsid w:val="005A3F76"/>
    <w:rsid w:val="005A4BCB"/>
    <w:rsid w:val="005A53A7"/>
    <w:rsid w:val="005A63C0"/>
    <w:rsid w:val="005A66E5"/>
    <w:rsid w:val="005A77F7"/>
    <w:rsid w:val="005A7D7B"/>
    <w:rsid w:val="005B0ED8"/>
    <w:rsid w:val="005B0F72"/>
    <w:rsid w:val="005B3529"/>
    <w:rsid w:val="005B3D20"/>
    <w:rsid w:val="005B4AD3"/>
    <w:rsid w:val="005B61A9"/>
    <w:rsid w:val="005B79B4"/>
    <w:rsid w:val="005B7DC9"/>
    <w:rsid w:val="005C052E"/>
    <w:rsid w:val="005C38BD"/>
    <w:rsid w:val="005C49FA"/>
    <w:rsid w:val="005C51A4"/>
    <w:rsid w:val="005C5DF7"/>
    <w:rsid w:val="005C680E"/>
    <w:rsid w:val="005C76C6"/>
    <w:rsid w:val="005C7BC2"/>
    <w:rsid w:val="005D023F"/>
    <w:rsid w:val="005D26FD"/>
    <w:rsid w:val="005D2ADC"/>
    <w:rsid w:val="005D4926"/>
    <w:rsid w:val="005D5C11"/>
    <w:rsid w:val="005D5E61"/>
    <w:rsid w:val="005E0027"/>
    <w:rsid w:val="005E31FE"/>
    <w:rsid w:val="005E3F92"/>
    <w:rsid w:val="005E4DF4"/>
    <w:rsid w:val="005E529D"/>
    <w:rsid w:val="005F36D2"/>
    <w:rsid w:val="005F39A8"/>
    <w:rsid w:val="005F60C7"/>
    <w:rsid w:val="005F6E50"/>
    <w:rsid w:val="005F6F0C"/>
    <w:rsid w:val="00601031"/>
    <w:rsid w:val="00602586"/>
    <w:rsid w:val="0060372B"/>
    <w:rsid w:val="006038E2"/>
    <w:rsid w:val="00604857"/>
    <w:rsid w:val="006063D1"/>
    <w:rsid w:val="00607079"/>
    <w:rsid w:val="00610D7A"/>
    <w:rsid w:val="0061145A"/>
    <w:rsid w:val="00611C9D"/>
    <w:rsid w:val="00615F4E"/>
    <w:rsid w:val="00617400"/>
    <w:rsid w:val="00620859"/>
    <w:rsid w:val="00621747"/>
    <w:rsid w:val="006217A4"/>
    <w:rsid w:val="006220B2"/>
    <w:rsid w:val="00623011"/>
    <w:rsid w:val="0062338F"/>
    <w:rsid w:val="006264AF"/>
    <w:rsid w:val="0062687A"/>
    <w:rsid w:val="00626F94"/>
    <w:rsid w:val="00627FEA"/>
    <w:rsid w:val="0063144D"/>
    <w:rsid w:val="00635F07"/>
    <w:rsid w:val="0063678B"/>
    <w:rsid w:val="00642CA6"/>
    <w:rsid w:val="0064366E"/>
    <w:rsid w:val="0064495C"/>
    <w:rsid w:val="00646BC1"/>
    <w:rsid w:val="00646C8D"/>
    <w:rsid w:val="00646CA3"/>
    <w:rsid w:val="0064780D"/>
    <w:rsid w:val="00647D29"/>
    <w:rsid w:val="00651B5D"/>
    <w:rsid w:val="00653D86"/>
    <w:rsid w:val="00656153"/>
    <w:rsid w:val="0065652B"/>
    <w:rsid w:val="00656DB4"/>
    <w:rsid w:val="00656EAB"/>
    <w:rsid w:val="006579E9"/>
    <w:rsid w:val="00664373"/>
    <w:rsid w:val="0067093D"/>
    <w:rsid w:val="006719CE"/>
    <w:rsid w:val="00672CB3"/>
    <w:rsid w:val="00672CED"/>
    <w:rsid w:val="00673A46"/>
    <w:rsid w:val="0067799F"/>
    <w:rsid w:val="00677FF9"/>
    <w:rsid w:val="00680403"/>
    <w:rsid w:val="00680619"/>
    <w:rsid w:val="00680EA7"/>
    <w:rsid w:val="00683700"/>
    <w:rsid w:val="00683D06"/>
    <w:rsid w:val="00686F2E"/>
    <w:rsid w:val="00687262"/>
    <w:rsid w:val="00687B53"/>
    <w:rsid w:val="0069179E"/>
    <w:rsid w:val="00692473"/>
    <w:rsid w:val="00693973"/>
    <w:rsid w:val="00694D35"/>
    <w:rsid w:val="006A0F56"/>
    <w:rsid w:val="006A25CC"/>
    <w:rsid w:val="006A2732"/>
    <w:rsid w:val="006A33D2"/>
    <w:rsid w:val="006A43D4"/>
    <w:rsid w:val="006A54BB"/>
    <w:rsid w:val="006B16BA"/>
    <w:rsid w:val="006B33E6"/>
    <w:rsid w:val="006B38A8"/>
    <w:rsid w:val="006B5878"/>
    <w:rsid w:val="006C3D30"/>
    <w:rsid w:val="006C4298"/>
    <w:rsid w:val="006C4771"/>
    <w:rsid w:val="006C4F0F"/>
    <w:rsid w:val="006C71E8"/>
    <w:rsid w:val="006C7903"/>
    <w:rsid w:val="006D1FA8"/>
    <w:rsid w:val="006D5EE8"/>
    <w:rsid w:val="006E01FB"/>
    <w:rsid w:val="006E169C"/>
    <w:rsid w:val="006E281A"/>
    <w:rsid w:val="006F0091"/>
    <w:rsid w:val="006F109C"/>
    <w:rsid w:val="006F3F14"/>
    <w:rsid w:val="006F480A"/>
    <w:rsid w:val="006F7081"/>
    <w:rsid w:val="007009B7"/>
    <w:rsid w:val="007012F8"/>
    <w:rsid w:val="00701B80"/>
    <w:rsid w:val="00703C4E"/>
    <w:rsid w:val="007062F3"/>
    <w:rsid w:val="00707759"/>
    <w:rsid w:val="007106ED"/>
    <w:rsid w:val="00710BA4"/>
    <w:rsid w:val="007129CF"/>
    <w:rsid w:val="00713C82"/>
    <w:rsid w:val="00714E27"/>
    <w:rsid w:val="00716532"/>
    <w:rsid w:val="00716B0F"/>
    <w:rsid w:val="007173FC"/>
    <w:rsid w:val="007253BD"/>
    <w:rsid w:val="0073000B"/>
    <w:rsid w:val="00731463"/>
    <w:rsid w:val="0073220E"/>
    <w:rsid w:val="00735125"/>
    <w:rsid w:val="00735B74"/>
    <w:rsid w:val="00737437"/>
    <w:rsid w:val="00742F8E"/>
    <w:rsid w:val="007431D1"/>
    <w:rsid w:val="00743649"/>
    <w:rsid w:val="00744E0D"/>
    <w:rsid w:val="007464F9"/>
    <w:rsid w:val="00746548"/>
    <w:rsid w:val="00747423"/>
    <w:rsid w:val="00751AD6"/>
    <w:rsid w:val="00751E45"/>
    <w:rsid w:val="00752929"/>
    <w:rsid w:val="007536E8"/>
    <w:rsid w:val="007544F7"/>
    <w:rsid w:val="00754889"/>
    <w:rsid w:val="00754D3A"/>
    <w:rsid w:val="0075524A"/>
    <w:rsid w:val="00755274"/>
    <w:rsid w:val="007554D3"/>
    <w:rsid w:val="00756A55"/>
    <w:rsid w:val="00757788"/>
    <w:rsid w:val="00760A95"/>
    <w:rsid w:val="0076250B"/>
    <w:rsid w:val="0076415C"/>
    <w:rsid w:val="00764545"/>
    <w:rsid w:val="00764F96"/>
    <w:rsid w:val="00765A07"/>
    <w:rsid w:val="00767420"/>
    <w:rsid w:val="00770F44"/>
    <w:rsid w:val="00776F60"/>
    <w:rsid w:val="007774C7"/>
    <w:rsid w:val="00780006"/>
    <w:rsid w:val="00780A1C"/>
    <w:rsid w:val="00780AB9"/>
    <w:rsid w:val="00780D54"/>
    <w:rsid w:val="00780DC9"/>
    <w:rsid w:val="007837DA"/>
    <w:rsid w:val="00783886"/>
    <w:rsid w:val="0078425C"/>
    <w:rsid w:val="00785C65"/>
    <w:rsid w:val="00785DE5"/>
    <w:rsid w:val="00785DE7"/>
    <w:rsid w:val="00786083"/>
    <w:rsid w:val="00790511"/>
    <w:rsid w:val="00791A8B"/>
    <w:rsid w:val="007971D8"/>
    <w:rsid w:val="007B00C0"/>
    <w:rsid w:val="007B1C73"/>
    <w:rsid w:val="007B1F7D"/>
    <w:rsid w:val="007B242B"/>
    <w:rsid w:val="007B2A56"/>
    <w:rsid w:val="007B3F1B"/>
    <w:rsid w:val="007B4A34"/>
    <w:rsid w:val="007B60DE"/>
    <w:rsid w:val="007B6ED8"/>
    <w:rsid w:val="007B704B"/>
    <w:rsid w:val="007C03AB"/>
    <w:rsid w:val="007C2429"/>
    <w:rsid w:val="007C491A"/>
    <w:rsid w:val="007C7862"/>
    <w:rsid w:val="007C799B"/>
    <w:rsid w:val="007D07A0"/>
    <w:rsid w:val="007D1C7E"/>
    <w:rsid w:val="007D2146"/>
    <w:rsid w:val="007D4014"/>
    <w:rsid w:val="007D4AEE"/>
    <w:rsid w:val="007D7766"/>
    <w:rsid w:val="007D7977"/>
    <w:rsid w:val="007D7B11"/>
    <w:rsid w:val="007E1127"/>
    <w:rsid w:val="007E571A"/>
    <w:rsid w:val="007E5E28"/>
    <w:rsid w:val="007E7031"/>
    <w:rsid w:val="007F052A"/>
    <w:rsid w:val="007F0A4B"/>
    <w:rsid w:val="007F1546"/>
    <w:rsid w:val="007F511D"/>
    <w:rsid w:val="007F57CC"/>
    <w:rsid w:val="00801A93"/>
    <w:rsid w:val="00803497"/>
    <w:rsid w:val="00803548"/>
    <w:rsid w:val="00803711"/>
    <w:rsid w:val="00803ED7"/>
    <w:rsid w:val="00804515"/>
    <w:rsid w:val="008067AD"/>
    <w:rsid w:val="0080777B"/>
    <w:rsid w:val="00807A7A"/>
    <w:rsid w:val="0081162D"/>
    <w:rsid w:val="008132E4"/>
    <w:rsid w:val="00815655"/>
    <w:rsid w:val="00817708"/>
    <w:rsid w:val="0082031C"/>
    <w:rsid w:val="008239E9"/>
    <w:rsid w:val="00824ED7"/>
    <w:rsid w:val="00831BB3"/>
    <w:rsid w:val="00832CAD"/>
    <w:rsid w:val="00833A6C"/>
    <w:rsid w:val="00835B48"/>
    <w:rsid w:val="00837705"/>
    <w:rsid w:val="008456A9"/>
    <w:rsid w:val="008468D6"/>
    <w:rsid w:val="00846CE4"/>
    <w:rsid w:val="00846DF9"/>
    <w:rsid w:val="00847096"/>
    <w:rsid w:val="00847DA1"/>
    <w:rsid w:val="00851181"/>
    <w:rsid w:val="0085158A"/>
    <w:rsid w:val="00856FC6"/>
    <w:rsid w:val="008572D0"/>
    <w:rsid w:val="008602FF"/>
    <w:rsid w:val="00861114"/>
    <w:rsid w:val="008623BD"/>
    <w:rsid w:val="00862B7C"/>
    <w:rsid w:val="00863EDC"/>
    <w:rsid w:val="00867526"/>
    <w:rsid w:val="00867793"/>
    <w:rsid w:val="008733A2"/>
    <w:rsid w:val="00873A62"/>
    <w:rsid w:val="00873FCF"/>
    <w:rsid w:val="008747F0"/>
    <w:rsid w:val="00876EC2"/>
    <w:rsid w:val="00877A01"/>
    <w:rsid w:val="00877F5B"/>
    <w:rsid w:val="00880143"/>
    <w:rsid w:val="008818A2"/>
    <w:rsid w:val="00883023"/>
    <w:rsid w:val="00884593"/>
    <w:rsid w:val="00885B4D"/>
    <w:rsid w:val="00885F93"/>
    <w:rsid w:val="00887048"/>
    <w:rsid w:val="008913DB"/>
    <w:rsid w:val="00891636"/>
    <w:rsid w:val="00893793"/>
    <w:rsid w:val="0089542E"/>
    <w:rsid w:val="00897847"/>
    <w:rsid w:val="008A152F"/>
    <w:rsid w:val="008A2D1E"/>
    <w:rsid w:val="008A429D"/>
    <w:rsid w:val="008A56FC"/>
    <w:rsid w:val="008B1671"/>
    <w:rsid w:val="008B2397"/>
    <w:rsid w:val="008B4095"/>
    <w:rsid w:val="008B4F14"/>
    <w:rsid w:val="008B6F2B"/>
    <w:rsid w:val="008B7A39"/>
    <w:rsid w:val="008B7FA6"/>
    <w:rsid w:val="008C2662"/>
    <w:rsid w:val="008C358B"/>
    <w:rsid w:val="008C5892"/>
    <w:rsid w:val="008C6755"/>
    <w:rsid w:val="008C697D"/>
    <w:rsid w:val="008C6B84"/>
    <w:rsid w:val="008C6CFD"/>
    <w:rsid w:val="008D00B2"/>
    <w:rsid w:val="008D09AA"/>
    <w:rsid w:val="008D1457"/>
    <w:rsid w:val="008D2D05"/>
    <w:rsid w:val="008D2DDD"/>
    <w:rsid w:val="008D40A8"/>
    <w:rsid w:val="008D4AD3"/>
    <w:rsid w:val="008D7A55"/>
    <w:rsid w:val="008E14D5"/>
    <w:rsid w:val="008E1617"/>
    <w:rsid w:val="008E4583"/>
    <w:rsid w:val="008E686D"/>
    <w:rsid w:val="008F3A04"/>
    <w:rsid w:val="008F435F"/>
    <w:rsid w:val="008F4AC9"/>
    <w:rsid w:val="008F7AA0"/>
    <w:rsid w:val="00900C46"/>
    <w:rsid w:val="00901AB4"/>
    <w:rsid w:val="009046B7"/>
    <w:rsid w:val="00904765"/>
    <w:rsid w:val="009066E9"/>
    <w:rsid w:val="00910E92"/>
    <w:rsid w:val="00912710"/>
    <w:rsid w:val="0091473B"/>
    <w:rsid w:val="00916AB5"/>
    <w:rsid w:val="00916FF5"/>
    <w:rsid w:val="0091768D"/>
    <w:rsid w:val="00920A9F"/>
    <w:rsid w:val="00920BF6"/>
    <w:rsid w:val="00921250"/>
    <w:rsid w:val="00922BB7"/>
    <w:rsid w:val="00924BA0"/>
    <w:rsid w:val="00925680"/>
    <w:rsid w:val="00925BC4"/>
    <w:rsid w:val="009261EA"/>
    <w:rsid w:val="009340C1"/>
    <w:rsid w:val="00934A9F"/>
    <w:rsid w:val="00936DED"/>
    <w:rsid w:val="00937D56"/>
    <w:rsid w:val="0094030D"/>
    <w:rsid w:val="00940955"/>
    <w:rsid w:val="00940F65"/>
    <w:rsid w:val="00941BD2"/>
    <w:rsid w:val="00942BDF"/>
    <w:rsid w:val="00944D03"/>
    <w:rsid w:val="009462A1"/>
    <w:rsid w:val="0095038E"/>
    <w:rsid w:val="00951C2F"/>
    <w:rsid w:val="00952964"/>
    <w:rsid w:val="00953080"/>
    <w:rsid w:val="00954CE2"/>
    <w:rsid w:val="009558B0"/>
    <w:rsid w:val="00955DD4"/>
    <w:rsid w:val="0095677A"/>
    <w:rsid w:val="00956FC6"/>
    <w:rsid w:val="00960A5A"/>
    <w:rsid w:val="00961ADE"/>
    <w:rsid w:val="00964054"/>
    <w:rsid w:val="00965A70"/>
    <w:rsid w:val="00965C84"/>
    <w:rsid w:val="009765B2"/>
    <w:rsid w:val="00981AD8"/>
    <w:rsid w:val="00981DBD"/>
    <w:rsid w:val="00982295"/>
    <w:rsid w:val="009867F1"/>
    <w:rsid w:val="00987A86"/>
    <w:rsid w:val="009906BE"/>
    <w:rsid w:val="00991FFE"/>
    <w:rsid w:val="00992CD3"/>
    <w:rsid w:val="009931F7"/>
    <w:rsid w:val="0099453B"/>
    <w:rsid w:val="00996890"/>
    <w:rsid w:val="009970D2"/>
    <w:rsid w:val="009A2E87"/>
    <w:rsid w:val="009A555F"/>
    <w:rsid w:val="009A6B2E"/>
    <w:rsid w:val="009B09DB"/>
    <w:rsid w:val="009B0DC8"/>
    <w:rsid w:val="009B1E24"/>
    <w:rsid w:val="009B2E65"/>
    <w:rsid w:val="009B5289"/>
    <w:rsid w:val="009B714A"/>
    <w:rsid w:val="009B7DC8"/>
    <w:rsid w:val="009C23B5"/>
    <w:rsid w:val="009C3356"/>
    <w:rsid w:val="009C6B7A"/>
    <w:rsid w:val="009C7806"/>
    <w:rsid w:val="009D1E55"/>
    <w:rsid w:val="009D27CE"/>
    <w:rsid w:val="009D43A2"/>
    <w:rsid w:val="009D4967"/>
    <w:rsid w:val="009D4BF8"/>
    <w:rsid w:val="009D5BFA"/>
    <w:rsid w:val="009D61D0"/>
    <w:rsid w:val="009D71B1"/>
    <w:rsid w:val="009E193B"/>
    <w:rsid w:val="009E27B4"/>
    <w:rsid w:val="009E6BEE"/>
    <w:rsid w:val="009F564D"/>
    <w:rsid w:val="009F59C8"/>
    <w:rsid w:val="009F612D"/>
    <w:rsid w:val="00A010CB"/>
    <w:rsid w:val="00A0234B"/>
    <w:rsid w:val="00A031FA"/>
    <w:rsid w:val="00A03C9F"/>
    <w:rsid w:val="00A040C7"/>
    <w:rsid w:val="00A048B8"/>
    <w:rsid w:val="00A04EF3"/>
    <w:rsid w:val="00A060A8"/>
    <w:rsid w:val="00A06716"/>
    <w:rsid w:val="00A10B4A"/>
    <w:rsid w:val="00A1340C"/>
    <w:rsid w:val="00A14108"/>
    <w:rsid w:val="00A15C31"/>
    <w:rsid w:val="00A1707D"/>
    <w:rsid w:val="00A22D04"/>
    <w:rsid w:val="00A26400"/>
    <w:rsid w:val="00A3019C"/>
    <w:rsid w:val="00A30C92"/>
    <w:rsid w:val="00A32397"/>
    <w:rsid w:val="00A32D8D"/>
    <w:rsid w:val="00A34197"/>
    <w:rsid w:val="00A35F5E"/>
    <w:rsid w:val="00A3621F"/>
    <w:rsid w:val="00A3652B"/>
    <w:rsid w:val="00A37D3B"/>
    <w:rsid w:val="00A40595"/>
    <w:rsid w:val="00A40FCA"/>
    <w:rsid w:val="00A42D2B"/>
    <w:rsid w:val="00A438AA"/>
    <w:rsid w:val="00A44BBB"/>
    <w:rsid w:val="00A45407"/>
    <w:rsid w:val="00A4592F"/>
    <w:rsid w:val="00A47380"/>
    <w:rsid w:val="00A50F2C"/>
    <w:rsid w:val="00A51051"/>
    <w:rsid w:val="00A51119"/>
    <w:rsid w:val="00A5229B"/>
    <w:rsid w:val="00A529FE"/>
    <w:rsid w:val="00A574CB"/>
    <w:rsid w:val="00A57969"/>
    <w:rsid w:val="00A60968"/>
    <w:rsid w:val="00A60C2D"/>
    <w:rsid w:val="00A61402"/>
    <w:rsid w:val="00A638D9"/>
    <w:rsid w:val="00A63A79"/>
    <w:rsid w:val="00A652CC"/>
    <w:rsid w:val="00A65A3E"/>
    <w:rsid w:val="00A661B5"/>
    <w:rsid w:val="00A66B8D"/>
    <w:rsid w:val="00A66FE4"/>
    <w:rsid w:val="00A67462"/>
    <w:rsid w:val="00A705E7"/>
    <w:rsid w:val="00A70662"/>
    <w:rsid w:val="00A70750"/>
    <w:rsid w:val="00A71169"/>
    <w:rsid w:val="00A71B06"/>
    <w:rsid w:val="00A736F9"/>
    <w:rsid w:val="00A74DA4"/>
    <w:rsid w:val="00A82AF6"/>
    <w:rsid w:val="00A83148"/>
    <w:rsid w:val="00A833D4"/>
    <w:rsid w:val="00A83C30"/>
    <w:rsid w:val="00A865EB"/>
    <w:rsid w:val="00A93F96"/>
    <w:rsid w:val="00A94432"/>
    <w:rsid w:val="00A95061"/>
    <w:rsid w:val="00A955FC"/>
    <w:rsid w:val="00A95951"/>
    <w:rsid w:val="00A970F7"/>
    <w:rsid w:val="00AA0B1A"/>
    <w:rsid w:val="00AA1367"/>
    <w:rsid w:val="00AA1596"/>
    <w:rsid w:val="00AA2C1B"/>
    <w:rsid w:val="00AA31A3"/>
    <w:rsid w:val="00AA3A22"/>
    <w:rsid w:val="00AA4168"/>
    <w:rsid w:val="00AA4BFC"/>
    <w:rsid w:val="00AA669F"/>
    <w:rsid w:val="00AA67D4"/>
    <w:rsid w:val="00AA698B"/>
    <w:rsid w:val="00AB2ADE"/>
    <w:rsid w:val="00AB2EA4"/>
    <w:rsid w:val="00AB55E9"/>
    <w:rsid w:val="00AB67E2"/>
    <w:rsid w:val="00AB6C2C"/>
    <w:rsid w:val="00AC32B7"/>
    <w:rsid w:val="00AC3D52"/>
    <w:rsid w:val="00AC4761"/>
    <w:rsid w:val="00AC649E"/>
    <w:rsid w:val="00AD0082"/>
    <w:rsid w:val="00AD0FAD"/>
    <w:rsid w:val="00AD109C"/>
    <w:rsid w:val="00AD2B0C"/>
    <w:rsid w:val="00AD315D"/>
    <w:rsid w:val="00AD435E"/>
    <w:rsid w:val="00AD5329"/>
    <w:rsid w:val="00AD5C79"/>
    <w:rsid w:val="00AD7DD3"/>
    <w:rsid w:val="00AE1B1B"/>
    <w:rsid w:val="00AE4640"/>
    <w:rsid w:val="00AE5925"/>
    <w:rsid w:val="00AE5C9A"/>
    <w:rsid w:val="00AE7957"/>
    <w:rsid w:val="00AF0158"/>
    <w:rsid w:val="00AF0513"/>
    <w:rsid w:val="00AF06FC"/>
    <w:rsid w:val="00AF1C60"/>
    <w:rsid w:val="00AF47D7"/>
    <w:rsid w:val="00AF6041"/>
    <w:rsid w:val="00AF72BB"/>
    <w:rsid w:val="00AF7550"/>
    <w:rsid w:val="00B01DB6"/>
    <w:rsid w:val="00B01F62"/>
    <w:rsid w:val="00B02585"/>
    <w:rsid w:val="00B025CF"/>
    <w:rsid w:val="00B05196"/>
    <w:rsid w:val="00B0638F"/>
    <w:rsid w:val="00B076AD"/>
    <w:rsid w:val="00B104BB"/>
    <w:rsid w:val="00B10B5D"/>
    <w:rsid w:val="00B111C6"/>
    <w:rsid w:val="00B11500"/>
    <w:rsid w:val="00B12F9D"/>
    <w:rsid w:val="00B13EC6"/>
    <w:rsid w:val="00B14CAE"/>
    <w:rsid w:val="00B160E7"/>
    <w:rsid w:val="00B227DD"/>
    <w:rsid w:val="00B23ECD"/>
    <w:rsid w:val="00B2549B"/>
    <w:rsid w:val="00B2693A"/>
    <w:rsid w:val="00B26D2B"/>
    <w:rsid w:val="00B27159"/>
    <w:rsid w:val="00B358A4"/>
    <w:rsid w:val="00B359DC"/>
    <w:rsid w:val="00B365E5"/>
    <w:rsid w:val="00B370D1"/>
    <w:rsid w:val="00B37252"/>
    <w:rsid w:val="00B37A4E"/>
    <w:rsid w:val="00B37E7E"/>
    <w:rsid w:val="00B41F2B"/>
    <w:rsid w:val="00B44767"/>
    <w:rsid w:val="00B45A96"/>
    <w:rsid w:val="00B45B72"/>
    <w:rsid w:val="00B45CBA"/>
    <w:rsid w:val="00B46504"/>
    <w:rsid w:val="00B479EB"/>
    <w:rsid w:val="00B50719"/>
    <w:rsid w:val="00B52A80"/>
    <w:rsid w:val="00B52BF6"/>
    <w:rsid w:val="00B53DC5"/>
    <w:rsid w:val="00B54B0A"/>
    <w:rsid w:val="00B54BC6"/>
    <w:rsid w:val="00B56224"/>
    <w:rsid w:val="00B61526"/>
    <w:rsid w:val="00B63B27"/>
    <w:rsid w:val="00B643B3"/>
    <w:rsid w:val="00B6509D"/>
    <w:rsid w:val="00B654E9"/>
    <w:rsid w:val="00B65F0A"/>
    <w:rsid w:val="00B66C85"/>
    <w:rsid w:val="00B67245"/>
    <w:rsid w:val="00B67D92"/>
    <w:rsid w:val="00B71F62"/>
    <w:rsid w:val="00B72E68"/>
    <w:rsid w:val="00B74C6F"/>
    <w:rsid w:val="00B76355"/>
    <w:rsid w:val="00B8251D"/>
    <w:rsid w:val="00B82ABF"/>
    <w:rsid w:val="00B859F5"/>
    <w:rsid w:val="00B85A19"/>
    <w:rsid w:val="00B86C4C"/>
    <w:rsid w:val="00B86D7B"/>
    <w:rsid w:val="00B87EC7"/>
    <w:rsid w:val="00B90B47"/>
    <w:rsid w:val="00B929CC"/>
    <w:rsid w:val="00B92A81"/>
    <w:rsid w:val="00B94FB3"/>
    <w:rsid w:val="00B9532C"/>
    <w:rsid w:val="00B95429"/>
    <w:rsid w:val="00B97122"/>
    <w:rsid w:val="00BA0AA1"/>
    <w:rsid w:val="00BA1E37"/>
    <w:rsid w:val="00BA3ADA"/>
    <w:rsid w:val="00BA4C4A"/>
    <w:rsid w:val="00BA504D"/>
    <w:rsid w:val="00BA6D6E"/>
    <w:rsid w:val="00BA6FDF"/>
    <w:rsid w:val="00BB01C5"/>
    <w:rsid w:val="00BB04F6"/>
    <w:rsid w:val="00BB2EF1"/>
    <w:rsid w:val="00BB4688"/>
    <w:rsid w:val="00BB51C5"/>
    <w:rsid w:val="00BB541C"/>
    <w:rsid w:val="00BB6DDD"/>
    <w:rsid w:val="00BB73BC"/>
    <w:rsid w:val="00BB7FC7"/>
    <w:rsid w:val="00BC0C7D"/>
    <w:rsid w:val="00BC2B8F"/>
    <w:rsid w:val="00BC4368"/>
    <w:rsid w:val="00BC58FF"/>
    <w:rsid w:val="00BC7C68"/>
    <w:rsid w:val="00BD01F8"/>
    <w:rsid w:val="00BD12EB"/>
    <w:rsid w:val="00BD5FB8"/>
    <w:rsid w:val="00BD745E"/>
    <w:rsid w:val="00BD75EB"/>
    <w:rsid w:val="00BD7944"/>
    <w:rsid w:val="00BE1013"/>
    <w:rsid w:val="00BE1ED9"/>
    <w:rsid w:val="00BE3722"/>
    <w:rsid w:val="00BE4035"/>
    <w:rsid w:val="00BE4C50"/>
    <w:rsid w:val="00BE5908"/>
    <w:rsid w:val="00BE6243"/>
    <w:rsid w:val="00BF0B06"/>
    <w:rsid w:val="00BF27E8"/>
    <w:rsid w:val="00BF29CB"/>
    <w:rsid w:val="00BF2FEB"/>
    <w:rsid w:val="00BF32C1"/>
    <w:rsid w:val="00BF5E8E"/>
    <w:rsid w:val="00BF6BE7"/>
    <w:rsid w:val="00BF7F73"/>
    <w:rsid w:val="00C01DA1"/>
    <w:rsid w:val="00C020C8"/>
    <w:rsid w:val="00C029C7"/>
    <w:rsid w:val="00C0360F"/>
    <w:rsid w:val="00C0390D"/>
    <w:rsid w:val="00C048A6"/>
    <w:rsid w:val="00C05579"/>
    <w:rsid w:val="00C05C0E"/>
    <w:rsid w:val="00C0638D"/>
    <w:rsid w:val="00C072C7"/>
    <w:rsid w:val="00C073FF"/>
    <w:rsid w:val="00C07D1D"/>
    <w:rsid w:val="00C14F8D"/>
    <w:rsid w:val="00C15281"/>
    <w:rsid w:val="00C15FAE"/>
    <w:rsid w:val="00C20377"/>
    <w:rsid w:val="00C21229"/>
    <w:rsid w:val="00C242C3"/>
    <w:rsid w:val="00C24A8B"/>
    <w:rsid w:val="00C2545D"/>
    <w:rsid w:val="00C25FDE"/>
    <w:rsid w:val="00C30383"/>
    <w:rsid w:val="00C30D8F"/>
    <w:rsid w:val="00C30F56"/>
    <w:rsid w:val="00C31691"/>
    <w:rsid w:val="00C3174B"/>
    <w:rsid w:val="00C339B5"/>
    <w:rsid w:val="00C3416A"/>
    <w:rsid w:val="00C36778"/>
    <w:rsid w:val="00C36A7D"/>
    <w:rsid w:val="00C36CE7"/>
    <w:rsid w:val="00C405E9"/>
    <w:rsid w:val="00C41579"/>
    <w:rsid w:val="00C41A0C"/>
    <w:rsid w:val="00C426F8"/>
    <w:rsid w:val="00C42D53"/>
    <w:rsid w:val="00C4386F"/>
    <w:rsid w:val="00C43DBB"/>
    <w:rsid w:val="00C4413A"/>
    <w:rsid w:val="00C47074"/>
    <w:rsid w:val="00C4761A"/>
    <w:rsid w:val="00C477A4"/>
    <w:rsid w:val="00C509BD"/>
    <w:rsid w:val="00C52AA8"/>
    <w:rsid w:val="00C536CC"/>
    <w:rsid w:val="00C54E58"/>
    <w:rsid w:val="00C54E9A"/>
    <w:rsid w:val="00C550A1"/>
    <w:rsid w:val="00C55EA5"/>
    <w:rsid w:val="00C57359"/>
    <w:rsid w:val="00C57993"/>
    <w:rsid w:val="00C60BFD"/>
    <w:rsid w:val="00C61541"/>
    <w:rsid w:val="00C63777"/>
    <w:rsid w:val="00C64601"/>
    <w:rsid w:val="00C65A9A"/>
    <w:rsid w:val="00C671B8"/>
    <w:rsid w:val="00C700F3"/>
    <w:rsid w:val="00C738A3"/>
    <w:rsid w:val="00C7468E"/>
    <w:rsid w:val="00C76C27"/>
    <w:rsid w:val="00C80E49"/>
    <w:rsid w:val="00C83593"/>
    <w:rsid w:val="00C84A21"/>
    <w:rsid w:val="00C85775"/>
    <w:rsid w:val="00C91614"/>
    <w:rsid w:val="00C92C4F"/>
    <w:rsid w:val="00C92DA4"/>
    <w:rsid w:val="00C96709"/>
    <w:rsid w:val="00C9798E"/>
    <w:rsid w:val="00CA036B"/>
    <w:rsid w:val="00CA2437"/>
    <w:rsid w:val="00CA27DA"/>
    <w:rsid w:val="00CA2B83"/>
    <w:rsid w:val="00CA5A16"/>
    <w:rsid w:val="00CB31DA"/>
    <w:rsid w:val="00CB672C"/>
    <w:rsid w:val="00CB72D8"/>
    <w:rsid w:val="00CC05AB"/>
    <w:rsid w:val="00CC09F6"/>
    <w:rsid w:val="00CC25ED"/>
    <w:rsid w:val="00CC5051"/>
    <w:rsid w:val="00CC6419"/>
    <w:rsid w:val="00CD0A18"/>
    <w:rsid w:val="00CD0EC6"/>
    <w:rsid w:val="00CD3615"/>
    <w:rsid w:val="00CD3E27"/>
    <w:rsid w:val="00CD45DC"/>
    <w:rsid w:val="00CD50BD"/>
    <w:rsid w:val="00CD6241"/>
    <w:rsid w:val="00CD6C00"/>
    <w:rsid w:val="00CE08D5"/>
    <w:rsid w:val="00CE0F1B"/>
    <w:rsid w:val="00CE178B"/>
    <w:rsid w:val="00CE1B23"/>
    <w:rsid w:val="00CE5660"/>
    <w:rsid w:val="00CE5C13"/>
    <w:rsid w:val="00CF08A5"/>
    <w:rsid w:val="00CF2721"/>
    <w:rsid w:val="00CF37CC"/>
    <w:rsid w:val="00CF4352"/>
    <w:rsid w:val="00CF4D4C"/>
    <w:rsid w:val="00CF6B87"/>
    <w:rsid w:val="00CF6DCC"/>
    <w:rsid w:val="00CF7638"/>
    <w:rsid w:val="00D046F3"/>
    <w:rsid w:val="00D04AB9"/>
    <w:rsid w:val="00D066BB"/>
    <w:rsid w:val="00D067CF"/>
    <w:rsid w:val="00D10E10"/>
    <w:rsid w:val="00D13213"/>
    <w:rsid w:val="00D13B6A"/>
    <w:rsid w:val="00D147F0"/>
    <w:rsid w:val="00D15A31"/>
    <w:rsid w:val="00D16B4D"/>
    <w:rsid w:val="00D16B5B"/>
    <w:rsid w:val="00D17ED2"/>
    <w:rsid w:val="00D209EE"/>
    <w:rsid w:val="00D216B2"/>
    <w:rsid w:val="00D2207A"/>
    <w:rsid w:val="00D22B99"/>
    <w:rsid w:val="00D22CBC"/>
    <w:rsid w:val="00D23F97"/>
    <w:rsid w:val="00D24F21"/>
    <w:rsid w:val="00D32533"/>
    <w:rsid w:val="00D34DAE"/>
    <w:rsid w:val="00D35861"/>
    <w:rsid w:val="00D358FB"/>
    <w:rsid w:val="00D3646A"/>
    <w:rsid w:val="00D41CDB"/>
    <w:rsid w:val="00D450CC"/>
    <w:rsid w:val="00D5033D"/>
    <w:rsid w:val="00D504A9"/>
    <w:rsid w:val="00D508CA"/>
    <w:rsid w:val="00D50BFB"/>
    <w:rsid w:val="00D5620E"/>
    <w:rsid w:val="00D5698A"/>
    <w:rsid w:val="00D603F0"/>
    <w:rsid w:val="00D6340E"/>
    <w:rsid w:val="00D63C60"/>
    <w:rsid w:val="00D6424B"/>
    <w:rsid w:val="00D67A58"/>
    <w:rsid w:val="00D71519"/>
    <w:rsid w:val="00D71B95"/>
    <w:rsid w:val="00D72B6C"/>
    <w:rsid w:val="00D743DF"/>
    <w:rsid w:val="00D7463B"/>
    <w:rsid w:val="00D76327"/>
    <w:rsid w:val="00D8011E"/>
    <w:rsid w:val="00D8293A"/>
    <w:rsid w:val="00D83BFA"/>
    <w:rsid w:val="00D843DA"/>
    <w:rsid w:val="00D85BBF"/>
    <w:rsid w:val="00D86652"/>
    <w:rsid w:val="00D9114E"/>
    <w:rsid w:val="00D91282"/>
    <w:rsid w:val="00D92266"/>
    <w:rsid w:val="00D93734"/>
    <w:rsid w:val="00D940CC"/>
    <w:rsid w:val="00D941EB"/>
    <w:rsid w:val="00D94F6B"/>
    <w:rsid w:val="00D952D5"/>
    <w:rsid w:val="00D96326"/>
    <w:rsid w:val="00DA103D"/>
    <w:rsid w:val="00DA20E9"/>
    <w:rsid w:val="00DA3E54"/>
    <w:rsid w:val="00DA57BC"/>
    <w:rsid w:val="00DB0D37"/>
    <w:rsid w:val="00DB0D62"/>
    <w:rsid w:val="00DB2EF6"/>
    <w:rsid w:val="00DB345A"/>
    <w:rsid w:val="00DB791A"/>
    <w:rsid w:val="00DC0B21"/>
    <w:rsid w:val="00DC1FF9"/>
    <w:rsid w:val="00DC216B"/>
    <w:rsid w:val="00DC25B9"/>
    <w:rsid w:val="00DC2F00"/>
    <w:rsid w:val="00DC4837"/>
    <w:rsid w:val="00DC6463"/>
    <w:rsid w:val="00DC6713"/>
    <w:rsid w:val="00DD00FF"/>
    <w:rsid w:val="00DD0CEB"/>
    <w:rsid w:val="00DD1464"/>
    <w:rsid w:val="00DD1974"/>
    <w:rsid w:val="00DD3F2A"/>
    <w:rsid w:val="00DE1012"/>
    <w:rsid w:val="00DE1853"/>
    <w:rsid w:val="00DE3996"/>
    <w:rsid w:val="00DE48D9"/>
    <w:rsid w:val="00DE7D1A"/>
    <w:rsid w:val="00DF25B4"/>
    <w:rsid w:val="00DF41CE"/>
    <w:rsid w:val="00DF51DB"/>
    <w:rsid w:val="00E0015A"/>
    <w:rsid w:val="00E03A70"/>
    <w:rsid w:val="00E04CB3"/>
    <w:rsid w:val="00E07002"/>
    <w:rsid w:val="00E10E37"/>
    <w:rsid w:val="00E11EFB"/>
    <w:rsid w:val="00E15503"/>
    <w:rsid w:val="00E1750D"/>
    <w:rsid w:val="00E176D8"/>
    <w:rsid w:val="00E222CE"/>
    <w:rsid w:val="00E22837"/>
    <w:rsid w:val="00E22D2B"/>
    <w:rsid w:val="00E23FBA"/>
    <w:rsid w:val="00E24E0A"/>
    <w:rsid w:val="00E2561D"/>
    <w:rsid w:val="00E33926"/>
    <w:rsid w:val="00E344A0"/>
    <w:rsid w:val="00E344D5"/>
    <w:rsid w:val="00E344E4"/>
    <w:rsid w:val="00E3506B"/>
    <w:rsid w:val="00E372C1"/>
    <w:rsid w:val="00E37BE2"/>
    <w:rsid w:val="00E40CAA"/>
    <w:rsid w:val="00E4131D"/>
    <w:rsid w:val="00E423A2"/>
    <w:rsid w:val="00E42637"/>
    <w:rsid w:val="00E42AB0"/>
    <w:rsid w:val="00E4327E"/>
    <w:rsid w:val="00E463C2"/>
    <w:rsid w:val="00E46CC7"/>
    <w:rsid w:val="00E47A96"/>
    <w:rsid w:val="00E51DE9"/>
    <w:rsid w:val="00E52B80"/>
    <w:rsid w:val="00E53BC2"/>
    <w:rsid w:val="00E54D5A"/>
    <w:rsid w:val="00E60F36"/>
    <w:rsid w:val="00E617C7"/>
    <w:rsid w:val="00E61B60"/>
    <w:rsid w:val="00E62262"/>
    <w:rsid w:val="00E64846"/>
    <w:rsid w:val="00E66016"/>
    <w:rsid w:val="00E66874"/>
    <w:rsid w:val="00E71CCF"/>
    <w:rsid w:val="00E72531"/>
    <w:rsid w:val="00E74413"/>
    <w:rsid w:val="00E74DE7"/>
    <w:rsid w:val="00E75D97"/>
    <w:rsid w:val="00E80A5A"/>
    <w:rsid w:val="00E818EA"/>
    <w:rsid w:val="00E81AB7"/>
    <w:rsid w:val="00E918F1"/>
    <w:rsid w:val="00E92197"/>
    <w:rsid w:val="00E92998"/>
    <w:rsid w:val="00E93D6B"/>
    <w:rsid w:val="00E94BB3"/>
    <w:rsid w:val="00E95339"/>
    <w:rsid w:val="00EA0EB3"/>
    <w:rsid w:val="00EA5AF5"/>
    <w:rsid w:val="00EA6BA8"/>
    <w:rsid w:val="00EB0E84"/>
    <w:rsid w:val="00EB23CD"/>
    <w:rsid w:val="00EB3111"/>
    <w:rsid w:val="00EB3CDB"/>
    <w:rsid w:val="00EB4B3B"/>
    <w:rsid w:val="00EB5109"/>
    <w:rsid w:val="00EC075B"/>
    <w:rsid w:val="00EC142B"/>
    <w:rsid w:val="00EC1809"/>
    <w:rsid w:val="00EC1FA2"/>
    <w:rsid w:val="00EC35EB"/>
    <w:rsid w:val="00EC5501"/>
    <w:rsid w:val="00EC59FD"/>
    <w:rsid w:val="00EC6941"/>
    <w:rsid w:val="00EC6E55"/>
    <w:rsid w:val="00ED08A3"/>
    <w:rsid w:val="00ED1B37"/>
    <w:rsid w:val="00ED3B93"/>
    <w:rsid w:val="00ED51E9"/>
    <w:rsid w:val="00EE3777"/>
    <w:rsid w:val="00EE404A"/>
    <w:rsid w:val="00EE6DF3"/>
    <w:rsid w:val="00EF10D2"/>
    <w:rsid w:val="00EF3039"/>
    <w:rsid w:val="00EF4E65"/>
    <w:rsid w:val="00EF5F5B"/>
    <w:rsid w:val="00EF70CD"/>
    <w:rsid w:val="00EF77C7"/>
    <w:rsid w:val="00EF7B23"/>
    <w:rsid w:val="00F011EE"/>
    <w:rsid w:val="00F0556B"/>
    <w:rsid w:val="00F05A95"/>
    <w:rsid w:val="00F07212"/>
    <w:rsid w:val="00F0728C"/>
    <w:rsid w:val="00F1292A"/>
    <w:rsid w:val="00F13689"/>
    <w:rsid w:val="00F17641"/>
    <w:rsid w:val="00F17786"/>
    <w:rsid w:val="00F20C55"/>
    <w:rsid w:val="00F20F18"/>
    <w:rsid w:val="00F21268"/>
    <w:rsid w:val="00F22DFB"/>
    <w:rsid w:val="00F244D3"/>
    <w:rsid w:val="00F25F51"/>
    <w:rsid w:val="00F30A54"/>
    <w:rsid w:val="00F31C91"/>
    <w:rsid w:val="00F32AC2"/>
    <w:rsid w:val="00F34EDE"/>
    <w:rsid w:val="00F36484"/>
    <w:rsid w:val="00F4093B"/>
    <w:rsid w:val="00F41606"/>
    <w:rsid w:val="00F451F3"/>
    <w:rsid w:val="00F45BF7"/>
    <w:rsid w:val="00F464FC"/>
    <w:rsid w:val="00F46F53"/>
    <w:rsid w:val="00F5198F"/>
    <w:rsid w:val="00F51CBE"/>
    <w:rsid w:val="00F54951"/>
    <w:rsid w:val="00F57A52"/>
    <w:rsid w:val="00F611D1"/>
    <w:rsid w:val="00F629EC"/>
    <w:rsid w:val="00F637F2"/>
    <w:rsid w:val="00F653CB"/>
    <w:rsid w:val="00F65C83"/>
    <w:rsid w:val="00F67369"/>
    <w:rsid w:val="00F7154D"/>
    <w:rsid w:val="00F71C69"/>
    <w:rsid w:val="00F72338"/>
    <w:rsid w:val="00F72982"/>
    <w:rsid w:val="00F73511"/>
    <w:rsid w:val="00F743D3"/>
    <w:rsid w:val="00F8022A"/>
    <w:rsid w:val="00F85B4A"/>
    <w:rsid w:val="00F87CBD"/>
    <w:rsid w:val="00F90637"/>
    <w:rsid w:val="00F9086B"/>
    <w:rsid w:val="00F94236"/>
    <w:rsid w:val="00F9584B"/>
    <w:rsid w:val="00F96C17"/>
    <w:rsid w:val="00F97063"/>
    <w:rsid w:val="00F971D0"/>
    <w:rsid w:val="00FA1147"/>
    <w:rsid w:val="00FA581E"/>
    <w:rsid w:val="00FA7AB4"/>
    <w:rsid w:val="00FB47B3"/>
    <w:rsid w:val="00FB48DA"/>
    <w:rsid w:val="00FB51C1"/>
    <w:rsid w:val="00FB6C01"/>
    <w:rsid w:val="00FC2A96"/>
    <w:rsid w:val="00FC2E48"/>
    <w:rsid w:val="00FC3371"/>
    <w:rsid w:val="00FC40E3"/>
    <w:rsid w:val="00FC4A09"/>
    <w:rsid w:val="00FC65C5"/>
    <w:rsid w:val="00FD0050"/>
    <w:rsid w:val="00FD1BD9"/>
    <w:rsid w:val="00FD3522"/>
    <w:rsid w:val="00FD3705"/>
    <w:rsid w:val="00FE17BC"/>
    <w:rsid w:val="00FE1A72"/>
    <w:rsid w:val="00FE56E1"/>
    <w:rsid w:val="00FE62C8"/>
    <w:rsid w:val="00FE78F6"/>
    <w:rsid w:val="00FF0727"/>
    <w:rsid w:val="00FF0DBF"/>
    <w:rsid w:val="00FF34C8"/>
    <w:rsid w:val="00FF5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F0F413"/>
  <w15:docId w15:val="{4BA3E1C3-D05B-4C38-92AE-F0A82CAA9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fr-FR" w:eastAsia="fr-FR" w:bidi="fr-FR"/>
    </w:rPr>
  </w:style>
  <w:style w:type="paragraph" w:styleId="Heading1">
    <w:name w:val="heading 1"/>
    <w:basedOn w:val="Normal"/>
    <w:next w:val="Normal"/>
    <w:link w:val="Heading1Char"/>
    <w:qFormat/>
    <w:rsid w:val="00B14CAE"/>
    <w:pPr>
      <w:keepNext/>
      <w:spacing w:before="240" w:after="60" w:line="240" w:lineRule="auto"/>
      <w:outlineLvl w:val="0"/>
    </w:pPr>
    <w:rPr>
      <w:rFonts w:ascii="Cambria" w:eastAsia="Times New Roman" w:hAnsi="Cambria"/>
      <w:b/>
      <w:bCs/>
      <w:kern w:val="32"/>
      <w:sz w:val="32"/>
      <w:szCs w:val="32"/>
      <w:lang w:val="en-GB" w:eastAsia="x-none" w:bidi="ar-SA"/>
    </w:rPr>
  </w:style>
  <w:style w:type="paragraph" w:styleId="Heading6">
    <w:name w:val="heading 6"/>
    <w:basedOn w:val="Normal"/>
    <w:next w:val="Normal"/>
    <w:link w:val="Heading6Char"/>
    <w:unhideWhenUsed/>
    <w:qFormat/>
    <w:rsid w:val="00B14CAE"/>
    <w:pPr>
      <w:keepNext/>
      <w:keepLines/>
      <w:pBdr>
        <w:top w:val="nil"/>
        <w:left w:val="nil"/>
        <w:bottom w:val="nil"/>
        <w:right w:val="nil"/>
        <w:between w:val="nil"/>
        <w:bar w:val="nil"/>
      </w:pBdr>
      <w:spacing w:before="40" w:after="0" w:line="240" w:lineRule="auto"/>
      <w:outlineLvl w:val="5"/>
    </w:pPr>
    <w:rPr>
      <w:rFonts w:asciiTheme="majorHAnsi" w:eastAsiaTheme="majorEastAsia" w:hAnsiTheme="majorHAnsi" w:cstheme="majorBidi"/>
      <w:color w:val="243F60" w:themeColor="accent1" w:themeShade="7F"/>
      <w:sz w:val="24"/>
      <w:szCs w:val="24"/>
      <w:bdr w:val="nil"/>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84593"/>
    <w:rPr>
      <w:rFonts w:ascii="Arial" w:hAnsi="Arial" w:cs="Arial"/>
      <w:bCs/>
      <w:sz w:val="22"/>
      <w:szCs w:val="22"/>
      <w:lang w:val="fr-FR" w:eastAsia="fr-FR" w:bidi="fr-FR"/>
    </w:rPr>
  </w:style>
  <w:style w:type="paragraph" w:styleId="BalloonText">
    <w:name w:val="Balloon Text"/>
    <w:basedOn w:val="Normal"/>
    <w:link w:val="BalloonTextChar"/>
    <w:uiPriority w:val="99"/>
    <w:semiHidden/>
    <w:unhideWhenUsed/>
    <w:rsid w:val="00884593"/>
    <w:pPr>
      <w:spacing w:after="0" w:line="240" w:lineRule="auto"/>
    </w:pPr>
    <w:rPr>
      <w:rFonts w:ascii="Tahoma" w:hAnsi="Tahoma"/>
      <w:sz w:val="16"/>
      <w:szCs w:val="16"/>
      <w:lang w:bidi="ar-SA"/>
    </w:rPr>
  </w:style>
  <w:style w:type="character" w:customStyle="1" w:styleId="BalloonTextChar">
    <w:name w:val="Balloon Text Char"/>
    <w:link w:val="BalloonText"/>
    <w:uiPriority w:val="99"/>
    <w:semiHidden/>
    <w:rsid w:val="00884593"/>
    <w:rPr>
      <w:rFonts w:ascii="Tahoma" w:hAnsi="Tahoma" w:cs="Tahoma"/>
      <w:sz w:val="16"/>
      <w:szCs w:val="16"/>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CC09F6"/>
    <w:pPr>
      <w:ind w:left="720"/>
      <w:contextualSpacing/>
    </w:pPr>
  </w:style>
  <w:style w:type="character" w:styleId="CommentReference">
    <w:name w:val="annotation reference"/>
    <w:uiPriority w:val="99"/>
    <w:semiHidden/>
    <w:unhideWhenUsed/>
    <w:rsid w:val="004851B9"/>
    <w:rPr>
      <w:sz w:val="16"/>
      <w:szCs w:val="16"/>
    </w:rPr>
  </w:style>
  <w:style w:type="paragraph" w:styleId="CommentText">
    <w:name w:val="annotation text"/>
    <w:basedOn w:val="Normal"/>
    <w:link w:val="CommentTextChar"/>
    <w:uiPriority w:val="99"/>
    <w:semiHidden/>
    <w:unhideWhenUsed/>
    <w:rsid w:val="004851B9"/>
    <w:pPr>
      <w:spacing w:line="240" w:lineRule="auto"/>
    </w:pPr>
    <w:rPr>
      <w:sz w:val="20"/>
      <w:szCs w:val="20"/>
      <w:lang w:bidi="ar-SA"/>
    </w:rPr>
  </w:style>
  <w:style w:type="character" w:customStyle="1" w:styleId="CommentTextChar">
    <w:name w:val="Comment Text Char"/>
    <w:link w:val="CommentText"/>
    <w:uiPriority w:val="99"/>
    <w:semiHidden/>
    <w:rsid w:val="004851B9"/>
    <w:rPr>
      <w:sz w:val="20"/>
      <w:szCs w:val="20"/>
    </w:rPr>
  </w:style>
  <w:style w:type="paragraph" w:styleId="CommentSubject">
    <w:name w:val="annotation subject"/>
    <w:basedOn w:val="CommentText"/>
    <w:next w:val="CommentText"/>
    <w:link w:val="CommentSubjectChar"/>
    <w:uiPriority w:val="99"/>
    <w:semiHidden/>
    <w:unhideWhenUsed/>
    <w:rsid w:val="004851B9"/>
    <w:rPr>
      <w:b/>
      <w:bCs/>
    </w:rPr>
  </w:style>
  <w:style w:type="character" w:customStyle="1" w:styleId="CommentSubjectChar">
    <w:name w:val="Comment Subject Char"/>
    <w:link w:val="CommentSubject"/>
    <w:uiPriority w:val="99"/>
    <w:semiHidden/>
    <w:rsid w:val="004851B9"/>
    <w:rPr>
      <w:b/>
      <w:bCs/>
      <w:sz w:val="20"/>
      <w:szCs w:val="20"/>
    </w:rPr>
  </w:style>
  <w:style w:type="paragraph" w:styleId="BodyText2">
    <w:name w:val="Body Text 2"/>
    <w:basedOn w:val="Normal"/>
    <w:link w:val="BodyText2Char"/>
    <w:rsid w:val="00C30F56"/>
    <w:pPr>
      <w:spacing w:after="0" w:line="240" w:lineRule="auto"/>
    </w:pPr>
    <w:rPr>
      <w:rFonts w:ascii="Arial" w:eastAsia="Times New Roman" w:hAnsi="Arial"/>
      <w:b/>
      <w:bCs/>
      <w:sz w:val="24"/>
      <w:szCs w:val="24"/>
      <w:lang w:bidi="ar-SA"/>
    </w:rPr>
  </w:style>
  <w:style w:type="character" w:customStyle="1" w:styleId="BodyText2Char">
    <w:name w:val="Body Text 2 Char"/>
    <w:link w:val="BodyText2"/>
    <w:rsid w:val="00C30F56"/>
    <w:rPr>
      <w:rFonts w:ascii="Arial" w:eastAsia="Times New Roman" w:hAnsi="Arial" w:cs="Arial"/>
      <w:b/>
      <w:bCs/>
      <w:sz w:val="24"/>
      <w:szCs w:val="24"/>
      <w:lang w:val="fr-FR"/>
    </w:rPr>
  </w:style>
  <w:style w:type="paragraph" w:styleId="Header">
    <w:name w:val="header"/>
    <w:basedOn w:val="Normal"/>
    <w:link w:val="HeaderChar"/>
    <w:uiPriority w:val="99"/>
    <w:unhideWhenUsed/>
    <w:rsid w:val="003A54A5"/>
    <w:pPr>
      <w:tabs>
        <w:tab w:val="center" w:pos="4680"/>
        <w:tab w:val="right" w:pos="9360"/>
      </w:tabs>
      <w:spacing w:after="0" w:line="240" w:lineRule="auto"/>
    </w:pPr>
    <w:rPr>
      <w:sz w:val="20"/>
      <w:szCs w:val="20"/>
      <w:lang w:bidi="ar-SA"/>
    </w:rPr>
  </w:style>
  <w:style w:type="character" w:customStyle="1" w:styleId="HeaderChar">
    <w:name w:val="Header Char"/>
    <w:link w:val="Header"/>
    <w:uiPriority w:val="99"/>
    <w:rsid w:val="003A54A5"/>
    <w:rPr>
      <w:lang w:val="fr-FR"/>
    </w:rPr>
  </w:style>
  <w:style w:type="paragraph" w:styleId="Footer">
    <w:name w:val="footer"/>
    <w:basedOn w:val="Normal"/>
    <w:link w:val="FooterChar"/>
    <w:uiPriority w:val="99"/>
    <w:unhideWhenUsed/>
    <w:rsid w:val="003A54A5"/>
    <w:pPr>
      <w:tabs>
        <w:tab w:val="center" w:pos="4680"/>
        <w:tab w:val="right" w:pos="9360"/>
      </w:tabs>
      <w:spacing w:after="0" w:line="240" w:lineRule="auto"/>
    </w:pPr>
    <w:rPr>
      <w:sz w:val="20"/>
      <w:szCs w:val="20"/>
      <w:lang w:bidi="ar-SA"/>
    </w:rPr>
  </w:style>
  <w:style w:type="character" w:customStyle="1" w:styleId="FooterChar">
    <w:name w:val="Footer Char"/>
    <w:link w:val="Footer"/>
    <w:uiPriority w:val="99"/>
    <w:rsid w:val="003A54A5"/>
    <w:rPr>
      <w:lang w:val="fr-FR"/>
    </w:rPr>
  </w:style>
  <w:style w:type="paragraph" w:styleId="Title">
    <w:name w:val="Title"/>
    <w:basedOn w:val="Normal"/>
    <w:link w:val="TitleChar"/>
    <w:qFormat/>
    <w:rsid w:val="00413567"/>
    <w:pPr>
      <w:spacing w:after="0" w:line="240" w:lineRule="auto"/>
      <w:jc w:val="center"/>
    </w:pPr>
    <w:rPr>
      <w:rFonts w:ascii="Arial" w:eastAsia="Times New Roman" w:hAnsi="Arial"/>
      <w:b/>
      <w:bCs/>
      <w:sz w:val="24"/>
      <w:szCs w:val="24"/>
      <w:lang w:bidi="ar-SA"/>
    </w:rPr>
  </w:style>
  <w:style w:type="character" w:customStyle="1" w:styleId="TitleChar">
    <w:name w:val="Title Char"/>
    <w:link w:val="Title"/>
    <w:rsid w:val="00413567"/>
    <w:rPr>
      <w:rFonts w:ascii="Arial" w:eastAsia="Times New Roman" w:hAnsi="Arial" w:cs="Arial"/>
      <w:b/>
      <w:bCs/>
      <w:sz w:val="24"/>
      <w:szCs w:val="24"/>
      <w:lang w:val="fr-FR"/>
    </w:rPr>
  </w:style>
  <w:style w:type="table" w:styleId="TableGrid">
    <w:name w:val="Table Grid"/>
    <w:basedOn w:val="TableNormal"/>
    <w:uiPriority w:val="59"/>
    <w:rsid w:val="00456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404F"/>
    <w:rPr>
      <w:color w:val="0000FF" w:themeColor="hyperlink"/>
      <w:u w:val="single"/>
    </w:rPr>
  </w:style>
  <w:style w:type="paragraph" w:styleId="Subtitle">
    <w:name w:val="Subtitle"/>
    <w:basedOn w:val="Normal"/>
    <w:next w:val="Normal"/>
    <w:link w:val="SubtitleChar"/>
    <w:uiPriority w:val="11"/>
    <w:qFormat/>
    <w:rsid w:val="00B53DC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B53DC5"/>
    <w:rPr>
      <w:rFonts w:asciiTheme="minorHAnsi" w:eastAsiaTheme="minorEastAsia" w:hAnsiTheme="minorHAnsi" w:cstheme="minorBidi"/>
      <w:color w:val="5A5A5A" w:themeColor="text1" w:themeTint="A5"/>
      <w:spacing w:val="15"/>
      <w:sz w:val="22"/>
      <w:szCs w:val="22"/>
      <w:lang w:val="fr-FR" w:eastAsia="fr-FR" w:bidi="fr-FR"/>
    </w:rPr>
  </w:style>
  <w:style w:type="character" w:customStyle="1" w:styleId="Heading1Char">
    <w:name w:val="Heading 1 Char"/>
    <w:basedOn w:val="DefaultParagraphFont"/>
    <w:link w:val="Heading1"/>
    <w:rsid w:val="00B14CAE"/>
    <w:rPr>
      <w:rFonts w:ascii="Cambria" w:eastAsia="Times New Roman" w:hAnsi="Cambria"/>
      <w:b/>
      <w:bCs/>
      <w:kern w:val="32"/>
      <w:sz w:val="32"/>
      <w:szCs w:val="32"/>
      <w:lang w:val="en-GB" w:eastAsia="x-none"/>
    </w:rPr>
  </w:style>
  <w:style w:type="character" w:customStyle="1" w:styleId="Heading6Char">
    <w:name w:val="Heading 6 Char"/>
    <w:basedOn w:val="DefaultParagraphFont"/>
    <w:link w:val="Heading6"/>
    <w:rsid w:val="00B14CAE"/>
    <w:rPr>
      <w:rFonts w:asciiTheme="majorHAnsi" w:eastAsiaTheme="majorEastAsia" w:hAnsiTheme="majorHAnsi" w:cstheme="majorBidi"/>
      <w:color w:val="243F60" w:themeColor="accent1" w:themeShade="7F"/>
      <w:sz w:val="24"/>
      <w:szCs w:val="24"/>
      <w:bdr w:val="nil"/>
      <w:lang w:val="en-GB"/>
    </w:rPr>
  </w:style>
  <w:style w:type="character" w:customStyle="1" w:styleId="NoSpacingChar">
    <w:name w:val="No Spacing Char"/>
    <w:link w:val="NoSpacing"/>
    <w:uiPriority w:val="1"/>
    <w:rsid w:val="00B14CAE"/>
    <w:rPr>
      <w:rFonts w:ascii="Arial" w:hAnsi="Arial" w:cs="Arial"/>
      <w:bCs/>
      <w:sz w:val="22"/>
      <w:szCs w:val="22"/>
      <w:lang w:val="fr-FR" w:eastAsia="fr-FR" w:bidi="fr-FR"/>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link w:val="ListParagraph"/>
    <w:uiPriority w:val="34"/>
    <w:locked/>
    <w:rsid w:val="00B14CAE"/>
    <w:rPr>
      <w:sz w:val="22"/>
      <w:szCs w:val="22"/>
      <w:lang w:val="fr-FR" w:eastAsia="fr-FR" w:bidi="fr-FR"/>
    </w:rPr>
  </w:style>
  <w:style w:type="paragraph" w:styleId="NormalWeb">
    <w:name w:val="Normal (Web)"/>
    <w:basedOn w:val="Normal"/>
    <w:uiPriority w:val="99"/>
    <w:semiHidden/>
    <w:unhideWhenUsed/>
    <w:rsid w:val="003317FC"/>
    <w:pPr>
      <w:spacing w:before="100" w:beforeAutospacing="1" w:after="100" w:afterAutospacing="1" w:line="240" w:lineRule="auto"/>
    </w:pPr>
    <w:rPr>
      <w:rFonts w:ascii="Times New Roman" w:eastAsia="Times New Roman" w:hAnsi="Times New Roman"/>
      <w:sz w:val="24"/>
      <w:szCs w:val="24"/>
      <w:lang w:val="en-US" w:eastAsia="en-US" w:bidi="ar-SA"/>
    </w:rPr>
  </w:style>
  <w:style w:type="paragraph" w:styleId="FootnoteText">
    <w:name w:val="footnote text"/>
    <w:basedOn w:val="Normal"/>
    <w:link w:val="FootnoteTextChar"/>
    <w:uiPriority w:val="99"/>
    <w:semiHidden/>
    <w:unhideWhenUsed/>
    <w:rsid w:val="00444D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4D24"/>
    <w:rPr>
      <w:lang w:val="fr-FR" w:eastAsia="fr-FR" w:bidi="fr-FR"/>
    </w:rPr>
  </w:style>
  <w:style w:type="character" w:styleId="FootnoteReference">
    <w:name w:val="footnote reference"/>
    <w:basedOn w:val="DefaultParagraphFont"/>
    <w:uiPriority w:val="99"/>
    <w:semiHidden/>
    <w:unhideWhenUsed/>
    <w:rsid w:val="00444D24"/>
    <w:rPr>
      <w:vertAlign w:val="superscript"/>
    </w:rPr>
  </w:style>
  <w:style w:type="paragraph" w:styleId="Caption">
    <w:name w:val="caption"/>
    <w:basedOn w:val="Normal"/>
    <w:next w:val="Normal"/>
    <w:uiPriority w:val="35"/>
    <w:unhideWhenUsed/>
    <w:qFormat/>
    <w:rsid w:val="00817708"/>
    <w:pPr>
      <w:spacing w:line="240" w:lineRule="auto"/>
    </w:pPr>
    <w:rPr>
      <w:i/>
      <w:iCs/>
      <w:color w:val="1F497D" w:themeColor="text2"/>
      <w:sz w:val="18"/>
      <w:szCs w:val="18"/>
    </w:rPr>
  </w:style>
  <w:style w:type="paragraph" w:styleId="TOCHeading">
    <w:name w:val="TOC Heading"/>
    <w:basedOn w:val="Heading1"/>
    <w:next w:val="Normal"/>
    <w:uiPriority w:val="39"/>
    <w:unhideWhenUsed/>
    <w:qFormat/>
    <w:rsid w:val="00572F4C"/>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paragraph" w:styleId="TOC1">
    <w:name w:val="toc 1"/>
    <w:basedOn w:val="Normal"/>
    <w:next w:val="Normal"/>
    <w:autoRedefine/>
    <w:uiPriority w:val="39"/>
    <w:unhideWhenUsed/>
    <w:rsid w:val="00572F4C"/>
    <w:pPr>
      <w:spacing w:after="100"/>
    </w:pPr>
  </w:style>
  <w:style w:type="paragraph" w:customStyle="1" w:styleId="Default">
    <w:name w:val="Default"/>
    <w:rsid w:val="00A22D04"/>
    <w:pPr>
      <w:autoSpaceDE w:val="0"/>
      <w:autoSpaceDN w:val="0"/>
      <w:adjustRightInd w:val="0"/>
    </w:pPr>
    <w:rPr>
      <w:rFonts w:ascii="Arial" w:hAnsi="Arial" w:cs="Arial"/>
      <w:color w:val="000000"/>
      <w:sz w:val="24"/>
      <w:szCs w:val="24"/>
    </w:rPr>
  </w:style>
  <w:style w:type="paragraph" w:customStyle="1" w:styleId="Pa21">
    <w:name w:val="Pa21"/>
    <w:basedOn w:val="Default"/>
    <w:next w:val="Default"/>
    <w:uiPriority w:val="99"/>
    <w:rsid w:val="00C30D8F"/>
    <w:pPr>
      <w:spacing w:line="211" w:lineRule="atLeast"/>
    </w:pPr>
    <w:rPr>
      <w:rFonts w:ascii="Adobe Garamond Pro" w:hAnsi="Adobe Garamond Pro" w:cs="Times New Roman"/>
      <w:color w:val="auto"/>
    </w:rPr>
  </w:style>
  <w:style w:type="paragraph" w:styleId="BodyText">
    <w:name w:val="Body Text"/>
    <w:basedOn w:val="Normal"/>
    <w:link w:val="BodyTextChar"/>
    <w:uiPriority w:val="99"/>
    <w:unhideWhenUsed/>
    <w:rsid w:val="004D500E"/>
    <w:pPr>
      <w:spacing w:after="120"/>
    </w:pPr>
  </w:style>
  <w:style w:type="character" w:customStyle="1" w:styleId="BodyTextChar">
    <w:name w:val="Body Text Char"/>
    <w:basedOn w:val="DefaultParagraphFont"/>
    <w:link w:val="BodyText"/>
    <w:uiPriority w:val="99"/>
    <w:rsid w:val="004D500E"/>
    <w:rPr>
      <w:sz w:val="22"/>
      <w:szCs w:val="22"/>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7116">
      <w:bodyDiv w:val="1"/>
      <w:marLeft w:val="0"/>
      <w:marRight w:val="0"/>
      <w:marTop w:val="0"/>
      <w:marBottom w:val="0"/>
      <w:divBdr>
        <w:top w:val="none" w:sz="0" w:space="0" w:color="auto"/>
        <w:left w:val="none" w:sz="0" w:space="0" w:color="auto"/>
        <w:bottom w:val="none" w:sz="0" w:space="0" w:color="auto"/>
        <w:right w:val="none" w:sz="0" w:space="0" w:color="auto"/>
      </w:divBdr>
    </w:div>
    <w:div w:id="183978705">
      <w:bodyDiv w:val="1"/>
      <w:marLeft w:val="0"/>
      <w:marRight w:val="0"/>
      <w:marTop w:val="0"/>
      <w:marBottom w:val="0"/>
      <w:divBdr>
        <w:top w:val="none" w:sz="0" w:space="0" w:color="auto"/>
        <w:left w:val="none" w:sz="0" w:space="0" w:color="auto"/>
        <w:bottom w:val="none" w:sz="0" w:space="0" w:color="auto"/>
        <w:right w:val="none" w:sz="0" w:space="0" w:color="auto"/>
      </w:divBdr>
    </w:div>
    <w:div w:id="282999809">
      <w:bodyDiv w:val="1"/>
      <w:marLeft w:val="0"/>
      <w:marRight w:val="0"/>
      <w:marTop w:val="0"/>
      <w:marBottom w:val="0"/>
      <w:divBdr>
        <w:top w:val="none" w:sz="0" w:space="0" w:color="auto"/>
        <w:left w:val="none" w:sz="0" w:space="0" w:color="auto"/>
        <w:bottom w:val="none" w:sz="0" w:space="0" w:color="auto"/>
        <w:right w:val="none" w:sz="0" w:space="0" w:color="auto"/>
      </w:divBdr>
    </w:div>
    <w:div w:id="360596847">
      <w:bodyDiv w:val="1"/>
      <w:marLeft w:val="0"/>
      <w:marRight w:val="0"/>
      <w:marTop w:val="0"/>
      <w:marBottom w:val="0"/>
      <w:divBdr>
        <w:top w:val="none" w:sz="0" w:space="0" w:color="auto"/>
        <w:left w:val="none" w:sz="0" w:space="0" w:color="auto"/>
        <w:bottom w:val="none" w:sz="0" w:space="0" w:color="auto"/>
        <w:right w:val="none" w:sz="0" w:space="0" w:color="auto"/>
      </w:divBdr>
    </w:div>
    <w:div w:id="484510935">
      <w:bodyDiv w:val="1"/>
      <w:marLeft w:val="0"/>
      <w:marRight w:val="0"/>
      <w:marTop w:val="0"/>
      <w:marBottom w:val="0"/>
      <w:divBdr>
        <w:top w:val="none" w:sz="0" w:space="0" w:color="auto"/>
        <w:left w:val="none" w:sz="0" w:space="0" w:color="auto"/>
        <w:bottom w:val="none" w:sz="0" w:space="0" w:color="auto"/>
        <w:right w:val="none" w:sz="0" w:space="0" w:color="auto"/>
      </w:divBdr>
    </w:div>
    <w:div w:id="582303697">
      <w:bodyDiv w:val="1"/>
      <w:marLeft w:val="0"/>
      <w:marRight w:val="0"/>
      <w:marTop w:val="0"/>
      <w:marBottom w:val="0"/>
      <w:divBdr>
        <w:top w:val="none" w:sz="0" w:space="0" w:color="auto"/>
        <w:left w:val="none" w:sz="0" w:space="0" w:color="auto"/>
        <w:bottom w:val="none" w:sz="0" w:space="0" w:color="auto"/>
        <w:right w:val="none" w:sz="0" w:space="0" w:color="auto"/>
      </w:divBdr>
    </w:div>
    <w:div w:id="638805698">
      <w:bodyDiv w:val="1"/>
      <w:marLeft w:val="0"/>
      <w:marRight w:val="0"/>
      <w:marTop w:val="0"/>
      <w:marBottom w:val="0"/>
      <w:divBdr>
        <w:top w:val="none" w:sz="0" w:space="0" w:color="auto"/>
        <w:left w:val="none" w:sz="0" w:space="0" w:color="auto"/>
        <w:bottom w:val="none" w:sz="0" w:space="0" w:color="auto"/>
        <w:right w:val="none" w:sz="0" w:space="0" w:color="auto"/>
      </w:divBdr>
    </w:div>
    <w:div w:id="673189087">
      <w:bodyDiv w:val="1"/>
      <w:marLeft w:val="0"/>
      <w:marRight w:val="0"/>
      <w:marTop w:val="0"/>
      <w:marBottom w:val="0"/>
      <w:divBdr>
        <w:top w:val="none" w:sz="0" w:space="0" w:color="auto"/>
        <w:left w:val="none" w:sz="0" w:space="0" w:color="auto"/>
        <w:bottom w:val="none" w:sz="0" w:space="0" w:color="auto"/>
        <w:right w:val="none" w:sz="0" w:space="0" w:color="auto"/>
      </w:divBdr>
    </w:div>
    <w:div w:id="914703348">
      <w:bodyDiv w:val="1"/>
      <w:marLeft w:val="0"/>
      <w:marRight w:val="0"/>
      <w:marTop w:val="0"/>
      <w:marBottom w:val="0"/>
      <w:divBdr>
        <w:top w:val="none" w:sz="0" w:space="0" w:color="auto"/>
        <w:left w:val="none" w:sz="0" w:space="0" w:color="auto"/>
        <w:bottom w:val="none" w:sz="0" w:space="0" w:color="auto"/>
        <w:right w:val="none" w:sz="0" w:space="0" w:color="auto"/>
      </w:divBdr>
    </w:div>
    <w:div w:id="1003970812">
      <w:bodyDiv w:val="1"/>
      <w:marLeft w:val="0"/>
      <w:marRight w:val="0"/>
      <w:marTop w:val="0"/>
      <w:marBottom w:val="0"/>
      <w:divBdr>
        <w:top w:val="none" w:sz="0" w:space="0" w:color="auto"/>
        <w:left w:val="none" w:sz="0" w:space="0" w:color="auto"/>
        <w:bottom w:val="none" w:sz="0" w:space="0" w:color="auto"/>
        <w:right w:val="none" w:sz="0" w:space="0" w:color="auto"/>
      </w:divBdr>
    </w:div>
    <w:div w:id="1060859022">
      <w:bodyDiv w:val="1"/>
      <w:marLeft w:val="0"/>
      <w:marRight w:val="0"/>
      <w:marTop w:val="0"/>
      <w:marBottom w:val="0"/>
      <w:divBdr>
        <w:top w:val="none" w:sz="0" w:space="0" w:color="auto"/>
        <w:left w:val="none" w:sz="0" w:space="0" w:color="auto"/>
        <w:bottom w:val="none" w:sz="0" w:space="0" w:color="auto"/>
        <w:right w:val="none" w:sz="0" w:space="0" w:color="auto"/>
      </w:divBdr>
    </w:div>
    <w:div w:id="1103454540">
      <w:bodyDiv w:val="1"/>
      <w:marLeft w:val="0"/>
      <w:marRight w:val="0"/>
      <w:marTop w:val="0"/>
      <w:marBottom w:val="0"/>
      <w:divBdr>
        <w:top w:val="none" w:sz="0" w:space="0" w:color="auto"/>
        <w:left w:val="none" w:sz="0" w:space="0" w:color="auto"/>
        <w:bottom w:val="none" w:sz="0" w:space="0" w:color="auto"/>
        <w:right w:val="none" w:sz="0" w:space="0" w:color="auto"/>
      </w:divBdr>
    </w:div>
    <w:div w:id="1109734953">
      <w:bodyDiv w:val="1"/>
      <w:marLeft w:val="0"/>
      <w:marRight w:val="0"/>
      <w:marTop w:val="0"/>
      <w:marBottom w:val="0"/>
      <w:divBdr>
        <w:top w:val="none" w:sz="0" w:space="0" w:color="auto"/>
        <w:left w:val="none" w:sz="0" w:space="0" w:color="auto"/>
        <w:bottom w:val="none" w:sz="0" w:space="0" w:color="auto"/>
        <w:right w:val="none" w:sz="0" w:space="0" w:color="auto"/>
      </w:divBdr>
    </w:div>
    <w:div w:id="1118060614">
      <w:bodyDiv w:val="1"/>
      <w:marLeft w:val="0"/>
      <w:marRight w:val="0"/>
      <w:marTop w:val="0"/>
      <w:marBottom w:val="0"/>
      <w:divBdr>
        <w:top w:val="none" w:sz="0" w:space="0" w:color="auto"/>
        <w:left w:val="none" w:sz="0" w:space="0" w:color="auto"/>
        <w:bottom w:val="none" w:sz="0" w:space="0" w:color="auto"/>
        <w:right w:val="none" w:sz="0" w:space="0" w:color="auto"/>
      </w:divBdr>
    </w:div>
    <w:div w:id="1130637105">
      <w:bodyDiv w:val="1"/>
      <w:marLeft w:val="0"/>
      <w:marRight w:val="0"/>
      <w:marTop w:val="0"/>
      <w:marBottom w:val="0"/>
      <w:divBdr>
        <w:top w:val="none" w:sz="0" w:space="0" w:color="auto"/>
        <w:left w:val="none" w:sz="0" w:space="0" w:color="auto"/>
        <w:bottom w:val="none" w:sz="0" w:space="0" w:color="auto"/>
        <w:right w:val="none" w:sz="0" w:space="0" w:color="auto"/>
      </w:divBdr>
    </w:div>
    <w:div w:id="1162740350">
      <w:bodyDiv w:val="1"/>
      <w:marLeft w:val="0"/>
      <w:marRight w:val="0"/>
      <w:marTop w:val="0"/>
      <w:marBottom w:val="0"/>
      <w:divBdr>
        <w:top w:val="none" w:sz="0" w:space="0" w:color="auto"/>
        <w:left w:val="none" w:sz="0" w:space="0" w:color="auto"/>
        <w:bottom w:val="none" w:sz="0" w:space="0" w:color="auto"/>
        <w:right w:val="none" w:sz="0" w:space="0" w:color="auto"/>
      </w:divBdr>
    </w:div>
    <w:div w:id="1238594336">
      <w:bodyDiv w:val="1"/>
      <w:marLeft w:val="0"/>
      <w:marRight w:val="0"/>
      <w:marTop w:val="0"/>
      <w:marBottom w:val="0"/>
      <w:divBdr>
        <w:top w:val="none" w:sz="0" w:space="0" w:color="auto"/>
        <w:left w:val="none" w:sz="0" w:space="0" w:color="auto"/>
        <w:bottom w:val="none" w:sz="0" w:space="0" w:color="auto"/>
        <w:right w:val="none" w:sz="0" w:space="0" w:color="auto"/>
      </w:divBdr>
    </w:div>
    <w:div w:id="1242712485">
      <w:bodyDiv w:val="1"/>
      <w:marLeft w:val="0"/>
      <w:marRight w:val="0"/>
      <w:marTop w:val="0"/>
      <w:marBottom w:val="0"/>
      <w:divBdr>
        <w:top w:val="none" w:sz="0" w:space="0" w:color="auto"/>
        <w:left w:val="none" w:sz="0" w:space="0" w:color="auto"/>
        <w:bottom w:val="none" w:sz="0" w:space="0" w:color="auto"/>
        <w:right w:val="none" w:sz="0" w:space="0" w:color="auto"/>
      </w:divBdr>
    </w:div>
    <w:div w:id="1265385504">
      <w:bodyDiv w:val="1"/>
      <w:marLeft w:val="0"/>
      <w:marRight w:val="0"/>
      <w:marTop w:val="0"/>
      <w:marBottom w:val="0"/>
      <w:divBdr>
        <w:top w:val="none" w:sz="0" w:space="0" w:color="auto"/>
        <w:left w:val="none" w:sz="0" w:space="0" w:color="auto"/>
        <w:bottom w:val="none" w:sz="0" w:space="0" w:color="auto"/>
        <w:right w:val="none" w:sz="0" w:space="0" w:color="auto"/>
      </w:divBdr>
    </w:div>
    <w:div w:id="1272936117">
      <w:bodyDiv w:val="1"/>
      <w:marLeft w:val="0"/>
      <w:marRight w:val="0"/>
      <w:marTop w:val="0"/>
      <w:marBottom w:val="0"/>
      <w:divBdr>
        <w:top w:val="none" w:sz="0" w:space="0" w:color="auto"/>
        <w:left w:val="none" w:sz="0" w:space="0" w:color="auto"/>
        <w:bottom w:val="none" w:sz="0" w:space="0" w:color="auto"/>
        <w:right w:val="none" w:sz="0" w:space="0" w:color="auto"/>
      </w:divBdr>
    </w:div>
    <w:div w:id="1304773982">
      <w:bodyDiv w:val="1"/>
      <w:marLeft w:val="0"/>
      <w:marRight w:val="0"/>
      <w:marTop w:val="0"/>
      <w:marBottom w:val="0"/>
      <w:divBdr>
        <w:top w:val="none" w:sz="0" w:space="0" w:color="auto"/>
        <w:left w:val="none" w:sz="0" w:space="0" w:color="auto"/>
        <w:bottom w:val="none" w:sz="0" w:space="0" w:color="auto"/>
        <w:right w:val="none" w:sz="0" w:space="0" w:color="auto"/>
      </w:divBdr>
    </w:div>
    <w:div w:id="1408914593">
      <w:bodyDiv w:val="1"/>
      <w:marLeft w:val="0"/>
      <w:marRight w:val="0"/>
      <w:marTop w:val="0"/>
      <w:marBottom w:val="0"/>
      <w:divBdr>
        <w:top w:val="none" w:sz="0" w:space="0" w:color="auto"/>
        <w:left w:val="none" w:sz="0" w:space="0" w:color="auto"/>
        <w:bottom w:val="none" w:sz="0" w:space="0" w:color="auto"/>
        <w:right w:val="none" w:sz="0" w:space="0" w:color="auto"/>
      </w:divBdr>
    </w:div>
    <w:div w:id="1448500960">
      <w:bodyDiv w:val="1"/>
      <w:marLeft w:val="0"/>
      <w:marRight w:val="0"/>
      <w:marTop w:val="0"/>
      <w:marBottom w:val="0"/>
      <w:divBdr>
        <w:top w:val="none" w:sz="0" w:space="0" w:color="auto"/>
        <w:left w:val="none" w:sz="0" w:space="0" w:color="auto"/>
        <w:bottom w:val="none" w:sz="0" w:space="0" w:color="auto"/>
        <w:right w:val="none" w:sz="0" w:space="0" w:color="auto"/>
      </w:divBdr>
    </w:div>
    <w:div w:id="1510438042">
      <w:bodyDiv w:val="1"/>
      <w:marLeft w:val="0"/>
      <w:marRight w:val="0"/>
      <w:marTop w:val="0"/>
      <w:marBottom w:val="0"/>
      <w:divBdr>
        <w:top w:val="none" w:sz="0" w:space="0" w:color="auto"/>
        <w:left w:val="none" w:sz="0" w:space="0" w:color="auto"/>
        <w:bottom w:val="none" w:sz="0" w:space="0" w:color="auto"/>
        <w:right w:val="none" w:sz="0" w:space="0" w:color="auto"/>
      </w:divBdr>
    </w:div>
    <w:div w:id="1540510904">
      <w:bodyDiv w:val="1"/>
      <w:marLeft w:val="0"/>
      <w:marRight w:val="0"/>
      <w:marTop w:val="0"/>
      <w:marBottom w:val="0"/>
      <w:divBdr>
        <w:top w:val="none" w:sz="0" w:space="0" w:color="auto"/>
        <w:left w:val="none" w:sz="0" w:space="0" w:color="auto"/>
        <w:bottom w:val="none" w:sz="0" w:space="0" w:color="auto"/>
        <w:right w:val="none" w:sz="0" w:space="0" w:color="auto"/>
      </w:divBdr>
    </w:div>
    <w:div w:id="1642345649">
      <w:bodyDiv w:val="1"/>
      <w:marLeft w:val="0"/>
      <w:marRight w:val="0"/>
      <w:marTop w:val="0"/>
      <w:marBottom w:val="0"/>
      <w:divBdr>
        <w:top w:val="none" w:sz="0" w:space="0" w:color="auto"/>
        <w:left w:val="none" w:sz="0" w:space="0" w:color="auto"/>
        <w:bottom w:val="none" w:sz="0" w:space="0" w:color="auto"/>
        <w:right w:val="none" w:sz="0" w:space="0" w:color="auto"/>
      </w:divBdr>
    </w:div>
    <w:div w:id="1660187839">
      <w:bodyDiv w:val="1"/>
      <w:marLeft w:val="0"/>
      <w:marRight w:val="0"/>
      <w:marTop w:val="0"/>
      <w:marBottom w:val="0"/>
      <w:divBdr>
        <w:top w:val="none" w:sz="0" w:space="0" w:color="auto"/>
        <w:left w:val="none" w:sz="0" w:space="0" w:color="auto"/>
        <w:bottom w:val="none" w:sz="0" w:space="0" w:color="auto"/>
        <w:right w:val="none" w:sz="0" w:space="0" w:color="auto"/>
      </w:divBdr>
    </w:div>
    <w:div w:id="1689523120">
      <w:bodyDiv w:val="1"/>
      <w:marLeft w:val="0"/>
      <w:marRight w:val="0"/>
      <w:marTop w:val="0"/>
      <w:marBottom w:val="0"/>
      <w:divBdr>
        <w:top w:val="none" w:sz="0" w:space="0" w:color="auto"/>
        <w:left w:val="none" w:sz="0" w:space="0" w:color="auto"/>
        <w:bottom w:val="none" w:sz="0" w:space="0" w:color="auto"/>
        <w:right w:val="none" w:sz="0" w:space="0" w:color="auto"/>
      </w:divBdr>
    </w:div>
    <w:div w:id="1797022055">
      <w:bodyDiv w:val="1"/>
      <w:marLeft w:val="0"/>
      <w:marRight w:val="0"/>
      <w:marTop w:val="0"/>
      <w:marBottom w:val="0"/>
      <w:divBdr>
        <w:top w:val="none" w:sz="0" w:space="0" w:color="auto"/>
        <w:left w:val="none" w:sz="0" w:space="0" w:color="auto"/>
        <w:bottom w:val="none" w:sz="0" w:space="0" w:color="auto"/>
        <w:right w:val="none" w:sz="0" w:space="0" w:color="auto"/>
      </w:divBdr>
    </w:div>
    <w:div w:id="1864199508">
      <w:bodyDiv w:val="1"/>
      <w:marLeft w:val="0"/>
      <w:marRight w:val="0"/>
      <w:marTop w:val="0"/>
      <w:marBottom w:val="0"/>
      <w:divBdr>
        <w:top w:val="none" w:sz="0" w:space="0" w:color="auto"/>
        <w:left w:val="none" w:sz="0" w:space="0" w:color="auto"/>
        <w:bottom w:val="none" w:sz="0" w:space="0" w:color="auto"/>
        <w:right w:val="none" w:sz="0" w:space="0" w:color="auto"/>
      </w:divBdr>
    </w:div>
    <w:div w:id="1976131441">
      <w:bodyDiv w:val="1"/>
      <w:marLeft w:val="0"/>
      <w:marRight w:val="0"/>
      <w:marTop w:val="0"/>
      <w:marBottom w:val="0"/>
      <w:divBdr>
        <w:top w:val="none" w:sz="0" w:space="0" w:color="auto"/>
        <w:left w:val="none" w:sz="0" w:space="0" w:color="auto"/>
        <w:bottom w:val="none" w:sz="0" w:space="0" w:color="auto"/>
        <w:right w:val="none" w:sz="0" w:space="0" w:color="auto"/>
      </w:divBdr>
    </w:div>
    <w:div w:id="1979072690">
      <w:bodyDiv w:val="1"/>
      <w:marLeft w:val="0"/>
      <w:marRight w:val="0"/>
      <w:marTop w:val="0"/>
      <w:marBottom w:val="0"/>
      <w:divBdr>
        <w:top w:val="none" w:sz="0" w:space="0" w:color="auto"/>
        <w:left w:val="none" w:sz="0" w:space="0" w:color="auto"/>
        <w:bottom w:val="none" w:sz="0" w:space="0" w:color="auto"/>
        <w:right w:val="none" w:sz="0" w:space="0" w:color="auto"/>
      </w:divBdr>
    </w:div>
    <w:div w:id="1984044345">
      <w:bodyDiv w:val="1"/>
      <w:marLeft w:val="0"/>
      <w:marRight w:val="0"/>
      <w:marTop w:val="0"/>
      <w:marBottom w:val="0"/>
      <w:divBdr>
        <w:top w:val="none" w:sz="0" w:space="0" w:color="auto"/>
        <w:left w:val="none" w:sz="0" w:space="0" w:color="auto"/>
        <w:bottom w:val="none" w:sz="0" w:space="0" w:color="auto"/>
        <w:right w:val="none" w:sz="0" w:space="0" w:color="auto"/>
      </w:divBdr>
      <w:divsChild>
        <w:div w:id="324213769">
          <w:marLeft w:val="0"/>
          <w:marRight w:val="0"/>
          <w:marTop w:val="0"/>
          <w:marBottom w:val="0"/>
          <w:divBdr>
            <w:top w:val="none" w:sz="0" w:space="0" w:color="auto"/>
            <w:left w:val="none" w:sz="0" w:space="0" w:color="auto"/>
            <w:bottom w:val="none" w:sz="0" w:space="0" w:color="auto"/>
            <w:right w:val="none" w:sz="0" w:space="0" w:color="auto"/>
          </w:divBdr>
        </w:div>
        <w:div w:id="569971426">
          <w:marLeft w:val="0"/>
          <w:marRight w:val="0"/>
          <w:marTop w:val="0"/>
          <w:marBottom w:val="0"/>
          <w:divBdr>
            <w:top w:val="none" w:sz="0" w:space="0" w:color="auto"/>
            <w:left w:val="none" w:sz="0" w:space="0" w:color="auto"/>
            <w:bottom w:val="none" w:sz="0" w:space="0" w:color="auto"/>
            <w:right w:val="none" w:sz="0" w:space="0" w:color="auto"/>
          </w:divBdr>
        </w:div>
        <w:div w:id="574507755">
          <w:marLeft w:val="0"/>
          <w:marRight w:val="0"/>
          <w:marTop w:val="0"/>
          <w:marBottom w:val="0"/>
          <w:divBdr>
            <w:top w:val="none" w:sz="0" w:space="0" w:color="auto"/>
            <w:left w:val="none" w:sz="0" w:space="0" w:color="auto"/>
            <w:bottom w:val="none" w:sz="0" w:space="0" w:color="auto"/>
            <w:right w:val="none" w:sz="0" w:space="0" w:color="auto"/>
          </w:divBdr>
        </w:div>
        <w:div w:id="579752883">
          <w:marLeft w:val="0"/>
          <w:marRight w:val="0"/>
          <w:marTop w:val="0"/>
          <w:marBottom w:val="0"/>
          <w:divBdr>
            <w:top w:val="none" w:sz="0" w:space="0" w:color="auto"/>
            <w:left w:val="none" w:sz="0" w:space="0" w:color="auto"/>
            <w:bottom w:val="none" w:sz="0" w:space="0" w:color="auto"/>
            <w:right w:val="none" w:sz="0" w:space="0" w:color="auto"/>
          </w:divBdr>
        </w:div>
        <w:div w:id="723604997">
          <w:marLeft w:val="0"/>
          <w:marRight w:val="0"/>
          <w:marTop w:val="0"/>
          <w:marBottom w:val="0"/>
          <w:divBdr>
            <w:top w:val="none" w:sz="0" w:space="0" w:color="auto"/>
            <w:left w:val="none" w:sz="0" w:space="0" w:color="auto"/>
            <w:bottom w:val="none" w:sz="0" w:space="0" w:color="auto"/>
            <w:right w:val="none" w:sz="0" w:space="0" w:color="auto"/>
          </w:divBdr>
        </w:div>
        <w:div w:id="904416603">
          <w:marLeft w:val="0"/>
          <w:marRight w:val="0"/>
          <w:marTop w:val="0"/>
          <w:marBottom w:val="0"/>
          <w:divBdr>
            <w:top w:val="none" w:sz="0" w:space="0" w:color="auto"/>
            <w:left w:val="none" w:sz="0" w:space="0" w:color="auto"/>
            <w:bottom w:val="none" w:sz="0" w:space="0" w:color="auto"/>
            <w:right w:val="none" w:sz="0" w:space="0" w:color="auto"/>
          </w:divBdr>
        </w:div>
        <w:div w:id="966005969">
          <w:marLeft w:val="0"/>
          <w:marRight w:val="0"/>
          <w:marTop w:val="0"/>
          <w:marBottom w:val="0"/>
          <w:divBdr>
            <w:top w:val="none" w:sz="0" w:space="0" w:color="auto"/>
            <w:left w:val="none" w:sz="0" w:space="0" w:color="auto"/>
            <w:bottom w:val="none" w:sz="0" w:space="0" w:color="auto"/>
            <w:right w:val="none" w:sz="0" w:space="0" w:color="auto"/>
          </w:divBdr>
        </w:div>
        <w:div w:id="1027145903">
          <w:marLeft w:val="0"/>
          <w:marRight w:val="0"/>
          <w:marTop w:val="0"/>
          <w:marBottom w:val="0"/>
          <w:divBdr>
            <w:top w:val="none" w:sz="0" w:space="0" w:color="auto"/>
            <w:left w:val="none" w:sz="0" w:space="0" w:color="auto"/>
            <w:bottom w:val="none" w:sz="0" w:space="0" w:color="auto"/>
            <w:right w:val="none" w:sz="0" w:space="0" w:color="auto"/>
          </w:divBdr>
        </w:div>
        <w:div w:id="1869171934">
          <w:marLeft w:val="0"/>
          <w:marRight w:val="0"/>
          <w:marTop w:val="0"/>
          <w:marBottom w:val="0"/>
          <w:divBdr>
            <w:top w:val="none" w:sz="0" w:space="0" w:color="auto"/>
            <w:left w:val="none" w:sz="0" w:space="0" w:color="auto"/>
            <w:bottom w:val="none" w:sz="0" w:space="0" w:color="auto"/>
            <w:right w:val="none" w:sz="0" w:space="0" w:color="auto"/>
          </w:divBdr>
        </w:div>
      </w:divsChild>
    </w:div>
    <w:div w:id="2103915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0"/>
      <c:depthPercent val="100"/>
      <c:rAngAx val="0"/>
    </c:view3D>
    <c:floor>
      <c:thickness val="0"/>
      <c:spPr>
        <a:solidFill>
          <a:schemeClr val="lt1"/>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Sheet1!$B$76</c:f>
              <c:strCache>
                <c:ptCount val="1"/>
                <c:pt idx="0">
                  <c:v>COMESA</c:v>
                </c:pt>
              </c:strCache>
            </c:strRef>
          </c:tx>
          <c:spPr>
            <a:pattFill prst="ltDnDiag">
              <a:fgClr>
                <a:schemeClr val="accent1"/>
              </a:fgClr>
              <a:bgClr>
                <a:schemeClr val="accent1">
                  <a:lumMod val="20000"/>
                  <a:lumOff val="80000"/>
                </a:schemeClr>
              </a:bgClr>
            </a:pattFill>
            <a:ln>
              <a:solidFill>
                <a:schemeClr val="accent1"/>
              </a:solidFill>
            </a:ln>
            <a:effectLst/>
            <a:sp3d>
              <a:contourClr>
                <a:schemeClr val="accent1"/>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Sheet1!$A$77:$A$82</c:f>
              <c:strCache>
                <c:ptCount val="6"/>
                <c:pt idx="0">
                  <c:v>2010-18</c:v>
                </c:pt>
                <c:pt idx="1">
                  <c:v>2019</c:v>
                </c:pt>
                <c:pt idx="2">
                  <c:v>2020</c:v>
                </c:pt>
                <c:pt idx="3">
                  <c:v>2021</c:v>
                </c:pt>
                <c:pt idx="4">
                  <c:v>2022p</c:v>
                </c:pt>
                <c:pt idx="5">
                  <c:v>2023p</c:v>
                </c:pt>
              </c:strCache>
            </c:strRef>
          </c:cat>
          <c:val>
            <c:numRef>
              <c:f>Sheet1!$B$77:$B$82</c:f>
              <c:numCache>
                <c:formatCode>General</c:formatCode>
                <c:ptCount val="6"/>
                <c:pt idx="0">
                  <c:v>6.2</c:v>
                </c:pt>
                <c:pt idx="1">
                  <c:v>5.7</c:v>
                </c:pt>
                <c:pt idx="2">
                  <c:v>0.5</c:v>
                </c:pt>
                <c:pt idx="3">
                  <c:v>5.9</c:v>
                </c:pt>
                <c:pt idx="4">
                  <c:v>4.8</c:v>
                </c:pt>
                <c:pt idx="5">
                  <c:v>5.5</c:v>
                </c:pt>
              </c:numCache>
            </c:numRef>
          </c:val>
          <c:extLst>
            <c:ext xmlns:c16="http://schemas.microsoft.com/office/drawing/2014/chart" uri="{C3380CC4-5D6E-409C-BE32-E72D297353CC}">
              <c16:uniqueId val="{00000000-DBAC-4BDD-9172-75A686BB127C}"/>
            </c:ext>
          </c:extLst>
        </c:ser>
        <c:dLbls>
          <c:showLegendKey val="0"/>
          <c:showVal val="0"/>
          <c:showCatName val="0"/>
          <c:showSerName val="0"/>
          <c:showPercent val="0"/>
          <c:showBubbleSize val="0"/>
        </c:dLbls>
        <c:gapWidth val="160"/>
        <c:gapDepth val="0"/>
        <c:shape val="box"/>
        <c:axId val="493848168"/>
        <c:axId val="493842264"/>
        <c:axId val="496521616"/>
      </c:bar3DChart>
      <c:catAx>
        <c:axId val="4938481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3842264"/>
        <c:crosses val="autoZero"/>
        <c:auto val="1"/>
        <c:lblAlgn val="ctr"/>
        <c:lblOffset val="100"/>
        <c:noMultiLvlLbl val="0"/>
      </c:catAx>
      <c:valAx>
        <c:axId val="493842264"/>
        <c:scaling>
          <c:orientation val="minMax"/>
          <c:max val="8"/>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3848168"/>
        <c:crosses val="autoZero"/>
        <c:crossBetween val="between"/>
        <c:majorUnit val="2"/>
      </c:valAx>
      <c:serAx>
        <c:axId val="496521616"/>
        <c:scaling>
          <c:orientation val="minMax"/>
        </c:scaling>
        <c:delete val="1"/>
        <c:axPos val="b"/>
        <c:majorTickMark val="none"/>
        <c:minorTickMark val="none"/>
        <c:tickLblPos val="nextTo"/>
        <c:crossAx val="493842264"/>
        <c:crosses val="autoZero"/>
      </c:ser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Sheet1!$B$64</c:f>
              <c:strCache>
                <c:ptCount val="1"/>
                <c:pt idx="0">
                  <c:v>COMESA</c:v>
                </c:pt>
              </c:strCache>
            </c:strRef>
          </c:tx>
          <c:spPr>
            <a:gradFill>
              <a:gsLst>
                <a:gs pos="100000">
                  <a:schemeClr val="accent1">
                    <a:alpha val="0"/>
                  </a:schemeClr>
                </a:gs>
                <a:gs pos="50000">
                  <a:schemeClr val="accent1"/>
                </a:gs>
              </a:gsLst>
              <a:lin ang="5400000" scaled="0"/>
            </a:gradFill>
            <a:ln>
              <a:noFill/>
            </a:ln>
            <a:effectLst/>
            <a:sp3d/>
          </c:spPr>
          <c:invertIfNegative val="0"/>
          <c:dLbls>
            <c:dLbl>
              <c:idx val="0"/>
              <c:layout>
                <c:manualLayout>
                  <c:x val="5.5555555555555297E-3"/>
                  <c:y val="0.22222222222222221"/>
                </c:manualLayout>
              </c:layout>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F69-4185-AB8E-51CDBBF33EF4}"/>
                </c:ext>
              </c:extLst>
            </c:dLbl>
            <c:dLbl>
              <c:idx val="1"/>
              <c:layout>
                <c:manualLayout>
                  <c:x val="0"/>
                  <c:y val="0.31944444444444436"/>
                </c:manualLayout>
              </c:layout>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F69-4185-AB8E-51CDBBF33EF4}"/>
                </c:ext>
              </c:extLst>
            </c:dLbl>
            <c:dLbl>
              <c:idx val="2"/>
              <c:layout>
                <c:manualLayout>
                  <c:x val="0"/>
                  <c:y val="0.28703703703703703"/>
                </c:manualLayout>
              </c:layout>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F69-4185-AB8E-51CDBBF33EF4}"/>
                </c:ext>
              </c:extLst>
            </c:dLbl>
            <c:dLbl>
              <c:idx val="3"/>
              <c:layout>
                <c:manualLayout>
                  <c:x val="0"/>
                  <c:y val="0.31018518518518517"/>
                </c:manualLayout>
              </c:layout>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F69-4185-AB8E-51CDBBF33EF4}"/>
                </c:ext>
              </c:extLst>
            </c:dLbl>
            <c:dLbl>
              <c:idx val="4"/>
              <c:layout>
                <c:manualLayout>
                  <c:x val="2.7777777777777779E-3"/>
                  <c:y val="0.27777777777777768"/>
                </c:manualLayout>
              </c:layout>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F69-4185-AB8E-51CDBBF33EF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Sheet1!$A$65:$A$69</c:f>
              <c:strCache>
                <c:ptCount val="5"/>
                <c:pt idx="0">
                  <c:v>2019</c:v>
                </c:pt>
                <c:pt idx="1">
                  <c:v>2020</c:v>
                </c:pt>
                <c:pt idx="2">
                  <c:v>2021</c:v>
                </c:pt>
                <c:pt idx="3">
                  <c:v>2022p</c:v>
                </c:pt>
                <c:pt idx="4">
                  <c:v>2023p</c:v>
                </c:pt>
              </c:strCache>
            </c:strRef>
          </c:cat>
          <c:val>
            <c:numRef>
              <c:f>Sheet1!$B$65:$B$69</c:f>
              <c:numCache>
                <c:formatCode>General</c:formatCode>
                <c:ptCount val="5"/>
                <c:pt idx="0">
                  <c:v>12.2</c:v>
                </c:pt>
                <c:pt idx="1">
                  <c:v>17.3</c:v>
                </c:pt>
                <c:pt idx="2">
                  <c:v>14.6</c:v>
                </c:pt>
                <c:pt idx="3">
                  <c:v>17</c:v>
                </c:pt>
                <c:pt idx="4">
                  <c:v>13.9</c:v>
                </c:pt>
              </c:numCache>
            </c:numRef>
          </c:val>
          <c:extLst>
            <c:ext xmlns:c16="http://schemas.microsoft.com/office/drawing/2014/chart" uri="{C3380CC4-5D6E-409C-BE32-E72D297353CC}">
              <c16:uniqueId val="{00000005-7F69-4185-AB8E-51CDBBF33EF4}"/>
            </c:ext>
          </c:extLst>
        </c:ser>
        <c:dLbls>
          <c:showLegendKey val="0"/>
          <c:showVal val="0"/>
          <c:showCatName val="0"/>
          <c:showSerName val="0"/>
          <c:showPercent val="0"/>
          <c:showBubbleSize val="0"/>
        </c:dLbls>
        <c:gapWidth val="150"/>
        <c:gapDepth val="0"/>
        <c:shape val="box"/>
        <c:axId val="589933736"/>
        <c:axId val="589932096"/>
        <c:axId val="0"/>
      </c:bar3DChart>
      <c:catAx>
        <c:axId val="5899337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932096"/>
        <c:crosses val="autoZero"/>
        <c:auto val="1"/>
        <c:lblAlgn val="ctr"/>
        <c:lblOffset val="100"/>
        <c:noMultiLvlLbl val="0"/>
      </c:catAx>
      <c:valAx>
        <c:axId val="589932096"/>
        <c:scaling>
          <c:orientation val="minMax"/>
          <c:min val="10"/>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9337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Sheet1!$B$2</c:f>
              <c:strCache>
                <c:ptCount val="1"/>
                <c:pt idx="0">
                  <c:v>COMESA</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Sheet1!$A$3:$A$8</c:f>
              <c:strCache>
                <c:ptCount val="5"/>
                <c:pt idx="0">
                  <c:v>2019</c:v>
                </c:pt>
                <c:pt idx="1">
                  <c:v>2020</c:v>
                </c:pt>
                <c:pt idx="2">
                  <c:v>2021</c:v>
                </c:pt>
                <c:pt idx="3">
                  <c:v>2022p</c:v>
                </c:pt>
                <c:pt idx="4">
                  <c:v>2023p</c:v>
                </c:pt>
              </c:strCache>
            </c:strRef>
          </c:cat>
          <c:val>
            <c:numRef>
              <c:f>Sheet1!$B$3:$B$8</c:f>
              <c:numCache>
                <c:formatCode>General</c:formatCode>
                <c:ptCount val="5"/>
                <c:pt idx="0">
                  <c:v>-4.5999999999999996</c:v>
                </c:pt>
                <c:pt idx="1">
                  <c:v>-5.5</c:v>
                </c:pt>
                <c:pt idx="2">
                  <c:v>-5.0999999999999996</c:v>
                </c:pt>
                <c:pt idx="3">
                  <c:v>-5.3</c:v>
                </c:pt>
                <c:pt idx="4">
                  <c:v>-4.0999999999999996</c:v>
                </c:pt>
              </c:numCache>
            </c:numRef>
          </c:val>
          <c:extLst>
            <c:ext xmlns:c16="http://schemas.microsoft.com/office/drawing/2014/chart" uri="{C3380CC4-5D6E-409C-BE32-E72D297353CC}">
              <c16:uniqueId val="{00000000-DE97-4036-A155-767A572F78EF}"/>
            </c:ext>
          </c:extLst>
        </c:ser>
        <c:dLbls>
          <c:showLegendKey val="0"/>
          <c:showVal val="1"/>
          <c:showCatName val="0"/>
          <c:showSerName val="0"/>
          <c:showPercent val="0"/>
          <c:showBubbleSize val="0"/>
        </c:dLbls>
        <c:gapWidth val="150"/>
        <c:shape val="box"/>
        <c:axId val="391311480"/>
        <c:axId val="379191360"/>
        <c:axId val="0"/>
      </c:bar3DChart>
      <c:catAx>
        <c:axId val="39131148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79191360"/>
        <c:crosses val="autoZero"/>
        <c:auto val="1"/>
        <c:lblAlgn val="ctr"/>
        <c:lblOffset val="100"/>
        <c:noMultiLvlLbl val="0"/>
      </c:catAx>
      <c:valAx>
        <c:axId val="37919136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913114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Sheet1!$B$23</c:f>
              <c:strCache>
                <c:ptCount val="1"/>
                <c:pt idx="0">
                  <c:v>COMESA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Sheet1!$A$24:$A$28</c:f>
              <c:strCache>
                <c:ptCount val="5"/>
                <c:pt idx="0">
                  <c:v>2019</c:v>
                </c:pt>
                <c:pt idx="1">
                  <c:v>2020</c:v>
                </c:pt>
                <c:pt idx="2">
                  <c:v>2021</c:v>
                </c:pt>
                <c:pt idx="3">
                  <c:v>2022p</c:v>
                </c:pt>
                <c:pt idx="4">
                  <c:v>2023p</c:v>
                </c:pt>
              </c:strCache>
            </c:strRef>
          </c:cat>
          <c:val>
            <c:numRef>
              <c:f>Sheet1!$B$24:$B$28</c:f>
              <c:numCache>
                <c:formatCode>General</c:formatCode>
                <c:ptCount val="5"/>
                <c:pt idx="0">
                  <c:v>54.4</c:v>
                </c:pt>
                <c:pt idx="1">
                  <c:v>61</c:v>
                </c:pt>
                <c:pt idx="2">
                  <c:v>58.5</c:v>
                </c:pt>
                <c:pt idx="3">
                  <c:v>58</c:v>
                </c:pt>
                <c:pt idx="4">
                  <c:v>54.8</c:v>
                </c:pt>
              </c:numCache>
            </c:numRef>
          </c:val>
          <c:extLst>
            <c:ext xmlns:c16="http://schemas.microsoft.com/office/drawing/2014/chart" uri="{C3380CC4-5D6E-409C-BE32-E72D297353CC}">
              <c16:uniqueId val="{00000000-E16E-474D-9E7B-8EE2D7E88583}"/>
            </c:ext>
          </c:extLst>
        </c:ser>
        <c:dLbls>
          <c:showLegendKey val="0"/>
          <c:showVal val="1"/>
          <c:showCatName val="0"/>
          <c:showSerName val="0"/>
          <c:showPercent val="0"/>
          <c:showBubbleSize val="0"/>
        </c:dLbls>
        <c:gapWidth val="150"/>
        <c:shape val="box"/>
        <c:axId val="533673056"/>
        <c:axId val="533675024"/>
        <c:axId val="0"/>
      </c:bar3DChart>
      <c:catAx>
        <c:axId val="5336730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33675024"/>
        <c:crosses val="autoZero"/>
        <c:auto val="1"/>
        <c:lblAlgn val="ctr"/>
        <c:lblOffset val="100"/>
        <c:noMultiLvlLbl val="0"/>
      </c:catAx>
      <c:valAx>
        <c:axId val="533675024"/>
        <c:scaling>
          <c:orientation val="minMax"/>
          <c:min val="50"/>
        </c:scaling>
        <c:delete val="0"/>
        <c:axPos val="l"/>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336730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Sheet1!$B$33</c:f>
              <c:strCache>
                <c:ptCount val="1"/>
                <c:pt idx="0">
                  <c:v>COMESA</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Sheet1!$A$34:$A$38</c:f>
              <c:strCache>
                <c:ptCount val="5"/>
                <c:pt idx="0">
                  <c:v>2019</c:v>
                </c:pt>
                <c:pt idx="1">
                  <c:v>2020</c:v>
                </c:pt>
                <c:pt idx="2">
                  <c:v>2021</c:v>
                </c:pt>
                <c:pt idx="3">
                  <c:v>2022p</c:v>
                </c:pt>
                <c:pt idx="4">
                  <c:v>2023p</c:v>
                </c:pt>
              </c:strCache>
            </c:strRef>
          </c:cat>
          <c:val>
            <c:numRef>
              <c:f>Sheet1!$B$34:$B$38</c:f>
              <c:numCache>
                <c:formatCode>General</c:formatCode>
                <c:ptCount val="5"/>
                <c:pt idx="0">
                  <c:v>-4.4000000000000004</c:v>
                </c:pt>
                <c:pt idx="1">
                  <c:v>-4.0999999999999996</c:v>
                </c:pt>
                <c:pt idx="2">
                  <c:v>-3.7</c:v>
                </c:pt>
                <c:pt idx="3">
                  <c:v>-4.3</c:v>
                </c:pt>
                <c:pt idx="4">
                  <c:v>-4.2</c:v>
                </c:pt>
              </c:numCache>
            </c:numRef>
          </c:val>
          <c:extLst>
            <c:ext xmlns:c16="http://schemas.microsoft.com/office/drawing/2014/chart" uri="{C3380CC4-5D6E-409C-BE32-E72D297353CC}">
              <c16:uniqueId val="{00000000-6D94-4B3D-A32D-9F9650E77D29}"/>
            </c:ext>
          </c:extLst>
        </c:ser>
        <c:dLbls>
          <c:showLegendKey val="0"/>
          <c:showVal val="0"/>
          <c:showCatName val="0"/>
          <c:showSerName val="0"/>
          <c:showPercent val="0"/>
          <c:showBubbleSize val="0"/>
        </c:dLbls>
        <c:gapWidth val="150"/>
        <c:shape val="box"/>
        <c:axId val="589666360"/>
        <c:axId val="589658816"/>
        <c:axId val="0"/>
      </c:bar3DChart>
      <c:catAx>
        <c:axId val="589666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658816"/>
        <c:crosses val="autoZero"/>
        <c:auto val="1"/>
        <c:lblAlgn val="ctr"/>
        <c:lblOffset val="100"/>
        <c:noMultiLvlLbl val="0"/>
      </c:catAx>
      <c:valAx>
        <c:axId val="589658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6663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Sheet1!$B$50</c:f>
              <c:strCache>
                <c:ptCount val="1"/>
                <c:pt idx="0">
                  <c:v>COMESA</c:v>
                </c:pt>
              </c:strCache>
            </c:strRef>
          </c:tx>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Sheet1!$A$51:$A$55</c:f>
              <c:strCache>
                <c:ptCount val="5"/>
                <c:pt idx="0">
                  <c:v>2019</c:v>
                </c:pt>
                <c:pt idx="1">
                  <c:v>2020</c:v>
                </c:pt>
                <c:pt idx="2">
                  <c:v>2021</c:v>
                </c:pt>
                <c:pt idx="3">
                  <c:v>2022p</c:v>
                </c:pt>
                <c:pt idx="4">
                  <c:v>2023p</c:v>
                </c:pt>
              </c:strCache>
            </c:strRef>
          </c:cat>
          <c:val>
            <c:numRef>
              <c:f>Sheet1!$B$51:$B$55</c:f>
              <c:numCache>
                <c:formatCode>General</c:formatCode>
                <c:ptCount val="5"/>
                <c:pt idx="0">
                  <c:v>3.9</c:v>
                </c:pt>
                <c:pt idx="1">
                  <c:v>3.1</c:v>
                </c:pt>
                <c:pt idx="2">
                  <c:v>3</c:v>
                </c:pt>
                <c:pt idx="3">
                  <c:v>2.6</c:v>
                </c:pt>
                <c:pt idx="4">
                  <c:v>2.7</c:v>
                </c:pt>
              </c:numCache>
            </c:numRef>
          </c:val>
          <c:extLst>
            <c:ext xmlns:c16="http://schemas.microsoft.com/office/drawing/2014/chart" uri="{C3380CC4-5D6E-409C-BE32-E72D297353CC}">
              <c16:uniqueId val="{00000000-FD7C-46B7-9187-202AB0EC71BB}"/>
            </c:ext>
          </c:extLst>
        </c:ser>
        <c:dLbls>
          <c:showLegendKey val="0"/>
          <c:showVal val="0"/>
          <c:showCatName val="0"/>
          <c:showSerName val="0"/>
          <c:showPercent val="0"/>
          <c:showBubbleSize val="0"/>
        </c:dLbls>
        <c:gapWidth val="150"/>
        <c:shape val="box"/>
        <c:axId val="552146176"/>
        <c:axId val="552147160"/>
        <c:axId val="0"/>
      </c:bar3DChart>
      <c:catAx>
        <c:axId val="5521461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552147160"/>
        <c:crosses val="autoZero"/>
        <c:auto val="1"/>
        <c:lblAlgn val="ctr"/>
        <c:lblOffset val="100"/>
        <c:noMultiLvlLbl val="0"/>
      </c:catAx>
      <c:valAx>
        <c:axId val="552147160"/>
        <c:scaling>
          <c:orientation val="minMax"/>
          <c:min val="2"/>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2146176"/>
        <c:crosses val="autoZero"/>
        <c:crossBetween val="between"/>
        <c:majorUnit val="0.4"/>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6">
  <a:schemeClr val="accent3"/>
</cs:colorStyle>
</file>

<file path=word/charts/colors4.xml><?xml version="1.0" encoding="utf-8"?>
<cs:colorStyle xmlns:cs="http://schemas.microsoft.com/office/drawing/2012/chartStyle" xmlns:a="http://schemas.openxmlformats.org/drawingml/2006/main" meth="withinLinear" id="15">
  <a:schemeClr val="accent2"/>
</cs:colorStyle>
</file>

<file path=word/charts/colors5.xml><?xml version="1.0" encoding="utf-8"?>
<cs:colorStyle xmlns:cs="http://schemas.microsoft.com/office/drawing/2012/chartStyle" xmlns:a="http://schemas.openxmlformats.org/drawingml/2006/main" meth="withinLinear" id="17">
  <a:schemeClr val="accent4"/>
</cs:colorStyle>
</file>

<file path=word/charts/colors6.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28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solidFill>
        <a:schemeClr val="lt1"/>
      </a:solidFill>
      <a:sp3d/>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83D22-65D1-4D07-9D14-A23DC1334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3027</Words>
  <Characters>17254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CMI5</dc:creator>
  <cp:keywords/>
  <dc:description/>
  <cp:lastModifiedBy>Dr. Thomas Bwire</cp:lastModifiedBy>
  <cp:revision>3</cp:revision>
  <cp:lastPrinted>2022-11-16T09:58:00Z</cp:lastPrinted>
  <dcterms:created xsi:type="dcterms:W3CDTF">2024-04-08T09:00:00Z</dcterms:created>
  <dcterms:modified xsi:type="dcterms:W3CDTF">2024-04-08T09:13:00Z</dcterms:modified>
</cp:coreProperties>
</file>