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62D16" w14:textId="77777777" w:rsidR="00A50F2C" w:rsidRPr="00B6509D" w:rsidRDefault="00022B3A" w:rsidP="00C550A1">
      <w:pPr>
        <w:pStyle w:val="Title"/>
        <w:pBdr>
          <w:top w:val="thinThickThinSmallGap" w:sz="24" w:space="18" w:color="auto"/>
          <w:left w:val="thinThickThinSmallGap" w:sz="24" w:space="31" w:color="auto"/>
          <w:bottom w:val="thinThickThinSmallGap" w:sz="24" w:space="31" w:color="auto"/>
          <w:right w:val="thinThickThinSmallGap" w:sz="24" w:space="31" w:color="auto"/>
        </w:pBdr>
        <w:rPr>
          <w:rFonts w:cs="Arial"/>
          <w:sz w:val="22"/>
          <w:szCs w:val="22"/>
        </w:rPr>
      </w:pPr>
      <w:r w:rsidRPr="00B6509D">
        <w:rPr>
          <w:rFonts w:cs="Arial"/>
          <w:noProof/>
          <w:sz w:val="22"/>
          <w:szCs w:val="22"/>
          <w:lang w:val="en-US" w:eastAsia="en-US"/>
        </w:rPr>
        <w:drawing>
          <wp:inline distT="0" distB="0" distL="0" distR="0" wp14:anchorId="3AC4205B" wp14:editId="111A0CF1">
            <wp:extent cx="990600" cy="990600"/>
            <wp:effectExtent l="19050" t="0" r="0" b="0"/>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990600" cy="990600"/>
                    </a:xfrm>
                    <a:prstGeom prst="rect">
                      <a:avLst/>
                    </a:prstGeom>
                    <a:noFill/>
                    <a:ln w="9525">
                      <a:noFill/>
                      <a:miter lim="800000"/>
                      <a:headEnd/>
                      <a:tailEnd/>
                    </a:ln>
                  </pic:spPr>
                </pic:pic>
              </a:graphicData>
            </a:graphic>
          </wp:inline>
        </w:drawing>
      </w:r>
    </w:p>
    <w:p w14:paraId="084C9D41" w14:textId="77777777" w:rsidR="00A50F2C" w:rsidRPr="00B6509D" w:rsidRDefault="00A50F2C" w:rsidP="00C550A1">
      <w:pPr>
        <w:pStyle w:val="Title"/>
        <w:pBdr>
          <w:top w:val="thinThickThinSmallGap" w:sz="24" w:space="18" w:color="auto"/>
          <w:left w:val="thinThickThinSmallGap" w:sz="24" w:space="31" w:color="auto"/>
          <w:bottom w:val="thinThickThinSmallGap" w:sz="24" w:space="31" w:color="auto"/>
          <w:right w:val="thinThickThinSmallGap" w:sz="24" w:space="31" w:color="auto"/>
        </w:pBdr>
        <w:rPr>
          <w:rFonts w:cs="Arial"/>
          <w:sz w:val="22"/>
          <w:szCs w:val="22"/>
        </w:rPr>
      </w:pPr>
    </w:p>
    <w:p w14:paraId="7E398E8A" w14:textId="77777777" w:rsidR="00A50F2C" w:rsidRPr="00B6509D" w:rsidRDefault="00A50F2C" w:rsidP="00C550A1">
      <w:pPr>
        <w:pStyle w:val="Title"/>
        <w:pBdr>
          <w:top w:val="thinThickThinSmallGap" w:sz="24" w:space="18" w:color="auto"/>
          <w:left w:val="thinThickThinSmallGap" w:sz="24" w:space="31" w:color="auto"/>
          <w:bottom w:val="thinThickThinSmallGap" w:sz="24" w:space="31" w:color="auto"/>
          <w:right w:val="thinThickThinSmallGap" w:sz="24" w:space="31" w:color="auto"/>
        </w:pBdr>
        <w:rPr>
          <w:rFonts w:cs="Arial"/>
          <w:sz w:val="22"/>
          <w:szCs w:val="22"/>
        </w:rPr>
      </w:pPr>
    </w:p>
    <w:p w14:paraId="011E52BA" w14:textId="77777777" w:rsidR="002C3EB9" w:rsidRPr="00B6509D" w:rsidRDefault="002C3EB9" w:rsidP="00C550A1">
      <w:pPr>
        <w:pStyle w:val="Title"/>
        <w:pBdr>
          <w:top w:val="thinThickThinSmallGap" w:sz="24" w:space="18" w:color="auto"/>
          <w:left w:val="thinThickThinSmallGap" w:sz="24" w:space="31" w:color="auto"/>
          <w:bottom w:val="thinThickThinSmallGap" w:sz="24" w:space="31" w:color="auto"/>
          <w:right w:val="thinThickThinSmallGap" w:sz="24" w:space="31" w:color="auto"/>
        </w:pBdr>
        <w:jc w:val="right"/>
        <w:outlineLvl w:val="0"/>
        <w:rPr>
          <w:rFonts w:cs="Arial"/>
          <w:sz w:val="22"/>
          <w:szCs w:val="22"/>
          <w:lang w:val="en-US"/>
        </w:rPr>
      </w:pPr>
    </w:p>
    <w:p w14:paraId="0358502A" w14:textId="77777777" w:rsidR="00182767" w:rsidRPr="00B6509D" w:rsidRDefault="00182767" w:rsidP="00C550A1">
      <w:pPr>
        <w:pStyle w:val="Title"/>
        <w:pBdr>
          <w:top w:val="thinThickThinSmallGap" w:sz="24" w:space="18" w:color="auto"/>
          <w:left w:val="thinThickThinSmallGap" w:sz="24" w:space="31" w:color="auto"/>
          <w:bottom w:val="thinThickThinSmallGap" w:sz="24" w:space="31" w:color="auto"/>
          <w:right w:val="thinThickThinSmallGap" w:sz="24" w:space="31" w:color="auto"/>
        </w:pBdr>
        <w:outlineLvl w:val="0"/>
        <w:rPr>
          <w:rFonts w:cs="Arial"/>
          <w:b w:val="0"/>
          <w:sz w:val="22"/>
          <w:szCs w:val="22"/>
          <w:lang w:val="en-US"/>
        </w:rPr>
      </w:pPr>
    </w:p>
    <w:p w14:paraId="6E07FD46" w14:textId="77777777" w:rsidR="00A50F2C" w:rsidRPr="00B6509D" w:rsidRDefault="00A50F2C" w:rsidP="00C550A1">
      <w:pPr>
        <w:pStyle w:val="Title"/>
        <w:pBdr>
          <w:top w:val="thinThickThinSmallGap" w:sz="24" w:space="18" w:color="auto"/>
          <w:left w:val="thinThickThinSmallGap" w:sz="24" w:space="31" w:color="auto"/>
          <w:bottom w:val="thinThickThinSmallGap" w:sz="24" w:space="31" w:color="auto"/>
          <w:right w:val="thinThickThinSmallGap" w:sz="24" w:space="31" w:color="auto"/>
        </w:pBdr>
        <w:rPr>
          <w:rFonts w:cs="Arial"/>
          <w:sz w:val="22"/>
          <w:szCs w:val="22"/>
          <w:lang w:val="en-US"/>
        </w:rPr>
      </w:pPr>
    </w:p>
    <w:p w14:paraId="438C5D99" w14:textId="77777777" w:rsidR="007E571A" w:rsidRPr="00B6509D" w:rsidRDefault="007E571A" w:rsidP="00C550A1">
      <w:pPr>
        <w:pStyle w:val="Title"/>
        <w:pBdr>
          <w:top w:val="thinThickThinSmallGap" w:sz="24" w:space="18" w:color="auto"/>
          <w:left w:val="thinThickThinSmallGap" w:sz="24" w:space="31" w:color="auto"/>
          <w:bottom w:val="thinThickThinSmallGap" w:sz="24" w:space="31" w:color="auto"/>
          <w:right w:val="thinThickThinSmallGap" w:sz="24" w:space="31" w:color="auto"/>
        </w:pBdr>
        <w:jc w:val="left"/>
        <w:rPr>
          <w:rFonts w:cs="Arial"/>
          <w:sz w:val="22"/>
          <w:szCs w:val="22"/>
          <w:lang w:val="en-US"/>
        </w:rPr>
      </w:pPr>
    </w:p>
    <w:p w14:paraId="7AEF9836" w14:textId="77777777" w:rsidR="00991FFE" w:rsidRPr="00B6509D" w:rsidRDefault="00991FFE" w:rsidP="00C550A1">
      <w:pPr>
        <w:pStyle w:val="Title"/>
        <w:pBdr>
          <w:top w:val="thinThickThinSmallGap" w:sz="24" w:space="18" w:color="auto"/>
          <w:left w:val="thinThickThinSmallGap" w:sz="24" w:space="31" w:color="auto"/>
          <w:bottom w:val="thinThickThinSmallGap" w:sz="24" w:space="31" w:color="auto"/>
          <w:right w:val="thinThickThinSmallGap" w:sz="24" w:space="31" w:color="auto"/>
        </w:pBdr>
        <w:jc w:val="left"/>
        <w:rPr>
          <w:rFonts w:cs="Arial"/>
          <w:sz w:val="22"/>
          <w:szCs w:val="22"/>
          <w:lang w:val="en-US"/>
        </w:rPr>
      </w:pPr>
    </w:p>
    <w:p w14:paraId="54AF4375" w14:textId="77777777" w:rsidR="00991FFE" w:rsidRPr="00B6509D" w:rsidRDefault="00991FFE" w:rsidP="00C550A1">
      <w:pPr>
        <w:pStyle w:val="Title"/>
        <w:pBdr>
          <w:top w:val="thinThickThinSmallGap" w:sz="24" w:space="18" w:color="auto"/>
          <w:left w:val="thinThickThinSmallGap" w:sz="24" w:space="31" w:color="auto"/>
          <w:bottom w:val="thinThickThinSmallGap" w:sz="24" w:space="31" w:color="auto"/>
          <w:right w:val="thinThickThinSmallGap" w:sz="24" w:space="31" w:color="auto"/>
        </w:pBdr>
        <w:jc w:val="left"/>
        <w:rPr>
          <w:rFonts w:cs="Arial"/>
          <w:sz w:val="22"/>
          <w:szCs w:val="22"/>
          <w:lang w:val="en-US"/>
        </w:rPr>
      </w:pPr>
    </w:p>
    <w:p w14:paraId="62BBB273" w14:textId="77777777" w:rsidR="00991FFE" w:rsidRPr="00B6509D" w:rsidRDefault="00991FFE" w:rsidP="00C550A1">
      <w:pPr>
        <w:pStyle w:val="Title"/>
        <w:pBdr>
          <w:top w:val="thinThickThinSmallGap" w:sz="24" w:space="18" w:color="auto"/>
          <w:left w:val="thinThickThinSmallGap" w:sz="24" w:space="31" w:color="auto"/>
          <w:bottom w:val="thinThickThinSmallGap" w:sz="24" w:space="31" w:color="auto"/>
          <w:right w:val="thinThickThinSmallGap" w:sz="24" w:space="31" w:color="auto"/>
        </w:pBdr>
        <w:jc w:val="left"/>
        <w:rPr>
          <w:rFonts w:cs="Arial"/>
          <w:sz w:val="22"/>
          <w:szCs w:val="22"/>
          <w:lang w:val="en-US"/>
        </w:rPr>
      </w:pPr>
    </w:p>
    <w:p w14:paraId="55B9C28A" w14:textId="77777777" w:rsidR="00991FFE" w:rsidRPr="00B6509D" w:rsidRDefault="00991FFE" w:rsidP="00C550A1">
      <w:pPr>
        <w:pStyle w:val="Title"/>
        <w:pBdr>
          <w:top w:val="thinThickThinSmallGap" w:sz="24" w:space="18" w:color="auto"/>
          <w:left w:val="thinThickThinSmallGap" w:sz="24" w:space="31" w:color="auto"/>
          <w:bottom w:val="thinThickThinSmallGap" w:sz="24" w:space="31" w:color="auto"/>
          <w:right w:val="thinThickThinSmallGap" w:sz="24" w:space="31" w:color="auto"/>
        </w:pBdr>
        <w:jc w:val="left"/>
        <w:rPr>
          <w:rFonts w:cs="Arial"/>
          <w:sz w:val="22"/>
          <w:szCs w:val="22"/>
          <w:lang w:val="en-US"/>
        </w:rPr>
      </w:pPr>
    </w:p>
    <w:p w14:paraId="5268FD07" w14:textId="77777777" w:rsidR="00A50F2C" w:rsidRPr="00B6509D" w:rsidRDefault="00A50F2C" w:rsidP="00C550A1">
      <w:pPr>
        <w:pStyle w:val="Title"/>
        <w:pBdr>
          <w:top w:val="thinThickThinSmallGap" w:sz="24" w:space="18" w:color="auto"/>
          <w:left w:val="thinThickThinSmallGap" w:sz="24" w:space="31" w:color="auto"/>
          <w:bottom w:val="thinThickThinSmallGap" w:sz="24" w:space="31" w:color="auto"/>
          <w:right w:val="thinThickThinSmallGap" w:sz="24" w:space="31" w:color="auto"/>
        </w:pBdr>
        <w:outlineLvl w:val="0"/>
        <w:rPr>
          <w:rFonts w:cs="Arial"/>
          <w:b w:val="0"/>
          <w:bCs w:val="0"/>
          <w:sz w:val="22"/>
          <w:szCs w:val="22"/>
          <w:lang w:val="en-US"/>
        </w:rPr>
      </w:pPr>
    </w:p>
    <w:p w14:paraId="20BFC7AB" w14:textId="77777777" w:rsidR="00991FFE" w:rsidRPr="00B6509D" w:rsidRDefault="00991FFE" w:rsidP="00C550A1">
      <w:pPr>
        <w:pStyle w:val="Title"/>
        <w:pBdr>
          <w:top w:val="thinThickThinSmallGap" w:sz="24" w:space="18" w:color="auto"/>
          <w:left w:val="thinThickThinSmallGap" w:sz="24" w:space="31" w:color="auto"/>
          <w:bottom w:val="thinThickThinSmallGap" w:sz="24" w:space="31" w:color="auto"/>
          <w:right w:val="thinThickThinSmallGap" w:sz="24" w:space="31" w:color="auto"/>
        </w:pBdr>
        <w:outlineLvl w:val="0"/>
        <w:rPr>
          <w:rFonts w:cs="Arial"/>
          <w:b w:val="0"/>
          <w:bCs w:val="0"/>
          <w:sz w:val="22"/>
          <w:szCs w:val="22"/>
          <w:lang w:val="en-US"/>
        </w:rPr>
      </w:pPr>
    </w:p>
    <w:p w14:paraId="2BEC2484" w14:textId="77777777" w:rsidR="00A50F2C" w:rsidRPr="00B6509D" w:rsidRDefault="00A50F2C" w:rsidP="00C550A1">
      <w:pPr>
        <w:pStyle w:val="Title"/>
        <w:pBdr>
          <w:top w:val="thinThickThinSmallGap" w:sz="24" w:space="18" w:color="auto"/>
          <w:left w:val="thinThickThinSmallGap" w:sz="24" w:space="31" w:color="auto"/>
          <w:bottom w:val="thinThickThinSmallGap" w:sz="24" w:space="31" w:color="auto"/>
          <w:right w:val="thinThickThinSmallGap" w:sz="24" w:space="31" w:color="auto"/>
        </w:pBdr>
        <w:tabs>
          <w:tab w:val="left" w:pos="3045"/>
          <w:tab w:val="center" w:pos="4513"/>
        </w:tabs>
        <w:outlineLvl w:val="0"/>
        <w:rPr>
          <w:rFonts w:cs="Arial"/>
          <w:b w:val="0"/>
          <w:bCs w:val="0"/>
          <w:sz w:val="22"/>
          <w:szCs w:val="22"/>
          <w:lang w:val="en-US"/>
        </w:rPr>
      </w:pPr>
    </w:p>
    <w:p w14:paraId="1D41B306" w14:textId="022528DB" w:rsidR="00A50F2C" w:rsidRDefault="002C3EB9" w:rsidP="00C550A1">
      <w:pPr>
        <w:pStyle w:val="Title"/>
        <w:pBdr>
          <w:top w:val="thinThickThinSmallGap" w:sz="24" w:space="18" w:color="auto"/>
          <w:left w:val="thinThickThinSmallGap" w:sz="24" w:space="31" w:color="auto"/>
          <w:bottom w:val="thinThickThinSmallGap" w:sz="24" w:space="31" w:color="auto"/>
          <w:right w:val="thinThickThinSmallGap" w:sz="24" w:space="31" w:color="auto"/>
        </w:pBdr>
        <w:tabs>
          <w:tab w:val="left" w:pos="3045"/>
          <w:tab w:val="center" w:pos="4513"/>
        </w:tabs>
        <w:outlineLvl w:val="0"/>
        <w:rPr>
          <w:rFonts w:cs="Arial"/>
          <w:sz w:val="22"/>
          <w:szCs w:val="22"/>
          <w:lang w:val="en-US"/>
        </w:rPr>
      </w:pPr>
      <w:bookmarkStart w:id="0" w:name="_Toc70259396"/>
      <w:bookmarkStart w:id="1" w:name="_Toc70259992"/>
      <w:bookmarkStart w:id="2" w:name="_Toc70260388"/>
      <w:bookmarkStart w:id="3" w:name="_Toc70943212"/>
      <w:r w:rsidRPr="00B6509D">
        <w:rPr>
          <w:rFonts w:cs="Arial"/>
          <w:sz w:val="22"/>
          <w:szCs w:val="22"/>
          <w:lang w:val="en-US"/>
        </w:rPr>
        <w:t>MACROECONOMIC DEVELOPMENTS IN COMESA REGION</w:t>
      </w:r>
      <w:r w:rsidR="00B14CAE" w:rsidRPr="00B6509D">
        <w:rPr>
          <w:rFonts w:cs="Arial"/>
          <w:sz w:val="22"/>
          <w:szCs w:val="22"/>
          <w:lang w:val="en-US"/>
        </w:rPr>
        <w:t xml:space="preserve"> IN 20</w:t>
      </w:r>
      <w:r w:rsidR="00A44BBB">
        <w:rPr>
          <w:rFonts w:cs="Arial"/>
          <w:sz w:val="22"/>
          <w:szCs w:val="22"/>
          <w:lang w:val="en-US"/>
        </w:rPr>
        <w:t>2</w:t>
      </w:r>
      <w:bookmarkEnd w:id="0"/>
      <w:bookmarkEnd w:id="1"/>
      <w:bookmarkEnd w:id="2"/>
      <w:bookmarkEnd w:id="3"/>
      <w:r w:rsidR="00CC62E1">
        <w:rPr>
          <w:rFonts w:cs="Arial"/>
          <w:sz w:val="22"/>
          <w:szCs w:val="22"/>
          <w:lang w:val="en-US"/>
        </w:rPr>
        <w:t>2</w:t>
      </w:r>
    </w:p>
    <w:p w14:paraId="1A2FA5A7" w14:textId="77777777" w:rsidR="00A44BBB" w:rsidRDefault="00A44BBB" w:rsidP="00C550A1">
      <w:pPr>
        <w:pStyle w:val="Title"/>
        <w:pBdr>
          <w:top w:val="thinThickThinSmallGap" w:sz="24" w:space="18" w:color="auto"/>
          <w:left w:val="thinThickThinSmallGap" w:sz="24" w:space="31" w:color="auto"/>
          <w:bottom w:val="thinThickThinSmallGap" w:sz="24" w:space="31" w:color="auto"/>
          <w:right w:val="thinThickThinSmallGap" w:sz="24" w:space="31" w:color="auto"/>
        </w:pBdr>
        <w:tabs>
          <w:tab w:val="left" w:pos="3045"/>
          <w:tab w:val="center" w:pos="4513"/>
        </w:tabs>
        <w:outlineLvl w:val="0"/>
        <w:rPr>
          <w:rFonts w:cs="Arial"/>
          <w:sz w:val="22"/>
          <w:szCs w:val="22"/>
          <w:lang w:val="en-US"/>
        </w:rPr>
      </w:pPr>
    </w:p>
    <w:p w14:paraId="6C932E75" w14:textId="77777777" w:rsidR="00A44BBB" w:rsidRDefault="00A44BBB" w:rsidP="00C550A1">
      <w:pPr>
        <w:pStyle w:val="Title"/>
        <w:pBdr>
          <w:top w:val="thinThickThinSmallGap" w:sz="24" w:space="18" w:color="auto"/>
          <w:left w:val="thinThickThinSmallGap" w:sz="24" w:space="31" w:color="auto"/>
          <w:bottom w:val="thinThickThinSmallGap" w:sz="24" w:space="31" w:color="auto"/>
          <w:right w:val="thinThickThinSmallGap" w:sz="24" w:space="31" w:color="auto"/>
        </w:pBdr>
        <w:tabs>
          <w:tab w:val="left" w:pos="3045"/>
          <w:tab w:val="center" w:pos="4513"/>
        </w:tabs>
        <w:outlineLvl w:val="0"/>
        <w:rPr>
          <w:rFonts w:cs="Arial"/>
          <w:sz w:val="22"/>
          <w:szCs w:val="22"/>
          <w:lang w:val="en-US"/>
        </w:rPr>
      </w:pPr>
    </w:p>
    <w:p w14:paraId="3859130D" w14:textId="77777777" w:rsidR="00A44BBB" w:rsidRDefault="00A44BBB" w:rsidP="00C550A1">
      <w:pPr>
        <w:pStyle w:val="Title"/>
        <w:pBdr>
          <w:top w:val="thinThickThinSmallGap" w:sz="24" w:space="18" w:color="auto"/>
          <w:left w:val="thinThickThinSmallGap" w:sz="24" w:space="31" w:color="auto"/>
          <w:bottom w:val="thinThickThinSmallGap" w:sz="24" w:space="31" w:color="auto"/>
          <w:right w:val="thinThickThinSmallGap" w:sz="24" w:space="31" w:color="auto"/>
        </w:pBdr>
        <w:tabs>
          <w:tab w:val="left" w:pos="3045"/>
          <w:tab w:val="center" w:pos="4513"/>
        </w:tabs>
        <w:outlineLvl w:val="0"/>
        <w:rPr>
          <w:rFonts w:cs="Arial"/>
          <w:sz w:val="22"/>
          <w:szCs w:val="22"/>
          <w:lang w:val="en-US"/>
        </w:rPr>
      </w:pPr>
    </w:p>
    <w:p w14:paraId="4D68A803" w14:textId="77777777" w:rsidR="00A44BBB" w:rsidRDefault="00A44BBB" w:rsidP="00C550A1">
      <w:pPr>
        <w:pStyle w:val="Title"/>
        <w:pBdr>
          <w:top w:val="thinThickThinSmallGap" w:sz="24" w:space="18" w:color="auto"/>
          <w:left w:val="thinThickThinSmallGap" w:sz="24" w:space="31" w:color="auto"/>
          <w:bottom w:val="thinThickThinSmallGap" w:sz="24" w:space="31" w:color="auto"/>
          <w:right w:val="thinThickThinSmallGap" w:sz="24" w:space="31" w:color="auto"/>
        </w:pBdr>
        <w:tabs>
          <w:tab w:val="left" w:pos="3045"/>
          <w:tab w:val="center" w:pos="4513"/>
        </w:tabs>
        <w:outlineLvl w:val="0"/>
        <w:rPr>
          <w:rFonts w:cs="Arial"/>
          <w:sz w:val="22"/>
          <w:szCs w:val="22"/>
          <w:lang w:val="en-US"/>
        </w:rPr>
      </w:pPr>
    </w:p>
    <w:p w14:paraId="7C7DA333" w14:textId="32A7FCD5" w:rsidR="00754D3A" w:rsidRPr="00B6509D" w:rsidRDefault="00754D3A" w:rsidP="00C550A1">
      <w:pPr>
        <w:pStyle w:val="Title"/>
        <w:pBdr>
          <w:top w:val="thinThickThinSmallGap" w:sz="24" w:space="18" w:color="auto"/>
          <w:left w:val="thinThickThinSmallGap" w:sz="24" w:space="31" w:color="auto"/>
          <w:bottom w:val="thinThickThinSmallGap" w:sz="24" w:space="31" w:color="auto"/>
          <w:right w:val="thinThickThinSmallGap" w:sz="24" w:space="31" w:color="auto"/>
        </w:pBdr>
        <w:tabs>
          <w:tab w:val="left" w:pos="3045"/>
          <w:tab w:val="center" w:pos="4513"/>
        </w:tabs>
        <w:outlineLvl w:val="0"/>
        <w:rPr>
          <w:rFonts w:cs="Arial"/>
          <w:sz w:val="22"/>
          <w:szCs w:val="22"/>
          <w:lang w:val="en-US"/>
        </w:rPr>
      </w:pPr>
      <w:bookmarkStart w:id="4" w:name="_Toc70259397"/>
      <w:bookmarkStart w:id="5" w:name="_Toc70259993"/>
      <w:bookmarkStart w:id="6" w:name="_Toc70260389"/>
      <w:bookmarkStart w:id="7" w:name="_Toc70943213"/>
      <w:r>
        <w:rPr>
          <w:rFonts w:cs="Arial"/>
          <w:sz w:val="22"/>
          <w:szCs w:val="22"/>
          <w:lang w:val="en-US"/>
        </w:rPr>
        <w:t>PREPARED FOR COMESA 20</w:t>
      </w:r>
      <w:r w:rsidR="00A44BBB">
        <w:rPr>
          <w:rFonts w:cs="Arial"/>
          <w:sz w:val="22"/>
          <w:szCs w:val="22"/>
          <w:lang w:val="en-US"/>
        </w:rPr>
        <w:t>2</w:t>
      </w:r>
      <w:r w:rsidR="00CC62E1">
        <w:rPr>
          <w:rFonts w:cs="Arial"/>
          <w:sz w:val="22"/>
          <w:szCs w:val="22"/>
          <w:lang w:val="en-US"/>
        </w:rPr>
        <w:t>2</w:t>
      </w:r>
      <w:r>
        <w:rPr>
          <w:rFonts w:cs="Arial"/>
          <w:sz w:val="22"/>
          <w:szCs w:val="22"/>
          <w:lang w:val="en-US"/>
        </w:rPr>
        <w:t xml:space="preserve"> ANNUAL REPORT</w:t>
      </w:r>
      <w:bookmarkEnd w:id="4"/>
      <w:bookmarkEnd w:id="5"/>
      <w:bookmarkEnd w:id="6"/>
      <w:bookmarkEnd w:id="7"/>
    </w:p>
    <w:p w14:paraId="7AEADA4E" w14:textId="77777777" w:rsidR="00991FFE" w:rsidRPr="00B6509D" w:rsidRDefault="00991FFE" w:rsidP="00C550A1">
      <w:pPr>
        <w:pStyle w:val="Title"/>
        <w:pBdr>
          <w:top w:val="thinThickThinSmallGap" w:sz="24" w:space="18" w:color="auto"/>
          <w:left w:val="thinThickThinSmallGap" w:sz="24" w:space="31" w:color="auto"/>
          <w:bottom w:val="thinThickThinSmallGap" w:sz="24" w:space="31" w:color="auto"/>
          <w:right w:val="thinThickThinSmallGap" w:sz="24" w:space="31" w:color="auto"/>
        </w:pBdr>
        <w:tabs>
          <w:tab w:val="left" w:pos="3045"/>
          <w:tab w:val="center" w:pos="4513"/>
        </w:tabs>
        <w:outlineLvl w:val="0"/>
        <w:rPr>
          <w:rFonts w:cs="Arial"/>
          <w:sz w:val="22"/>
          <w:szCs w:val="22"/>
          <w:lang w:val="en-US"/>
        </w:rPr>
      </w:pPr>
    </w:p>
    <w:p w14:paraId="1EC5C911" w14:textId="77777777" w:rsidR="00991FFE" w:rsidRPr="00B6509D" w:rsidRDefault="00991FFE" w:rsidP="00C550A1">
      <w:pPr>
        <w:pStyle w:val="Title"/>
        <w:pBdr>
          <w:top w:val="thinThickThinSmallGap" w:sz="24" w:space="18" w:color="auto"/>
          <w:left w:val="thinThickThinSmallGap" w:sz="24" w:space="31" w:color="auto"/>
          <w:bottom w:val="thinThickThinSmallGap" w:sz="24" w:space="31" w:color="auto"/>
          <w:right w:val="thinThickThinSmallGap" w:sz="24" w:space="31" w:color="auto"/>
        </w:pBdr>
        <w:tabs>
          <w:tab w:val="left" w:pos="3045"/>
          <w:tab w:val="center" w:pos="4513"/>
        </w:tabs>
        <w:outlineLvl w:val="0"/>
        <w:rPr>
          <w:rFonts w:cs="Arial"/>
          <w:sz w:val="22"/>
          <w:szCs w:val="22"/>
          <w:lang w:val="en-US"/>
        </w:rPr>
      </w:pPr>
    </w:p>
    <w:p w14:paraId="24BF45DA" w14:textId="77777777" w:rsidR="00991FFE" w:rsidRDefault="00991FFE" w:rsidP="00C550A1">
      <w:pPr>
        <w:pStyle w:val="Title"/>
        <w:pBdr>
          <w:top w:val="thinThickThinSmallGap" w:sz="24" w:space="18" w:color="auto"/>
          <w:left w:val="thinThickThinSmallGap" w:sz="24" w:space="31" w:color="auto"/>
          <w:bottom w:val="thinThickThinSmallGap" w:sz="24" w:space="31" w:color="auto"/>
          <w:right w:val="thinThickThinSmallGap" w:sz="24" w:space="31" w:color="auto"/>
        </w:pBdr>
        <w:tabs>
          <w:tab w:val="left" w:pos="3045"/>
          <w:tab w:val="center" w:pos="4513"/>
        </w:tabs>
        <w:outlineLvl w:val="0"/>
        <w:rPr>
          <w:rFonts w:cs="Arial"/>
          <w:sz w:val="22"/>
          <w:szCs w:val="22"/>
          <w:lang w:val="en-US"/>
        </w:rPr>
      </w:pPr>
    </w:p>
    <w:p w14:paraId="58E78A45" w14:textId="77777777" w:rsidR="00C550A1" w:rsidRDefault="00C550A1" w:rsidP="00C550A1">
      <w:pPr>
        <w:pStyle w:val="Title"/>
        <w:pBdr>
          <w:top w:val="thinThickThinSmallGap" w:sz="24" w:space="18" w:color="auto"/>
          <w:left w:val="thinThickThinSmallGap" w:sz="24" w:space="31" w:color="auto"/>
          <w:bottom w:val="thinThickThinSmallGap" w:sz="24" w:space="31" w:color="auto"/>
          <w:right w:val="thinThickThinSmallGap" w:sz="24" w:space="31" w:color="auto"/>
        </w:pBdr>
        <w:tabs>
          <w:tab w:val="left" w:pos="3045"/>
          <w:tab w:val="center" w:pos="4513"/>
        </w:tabs>
        <w:outlineLvl w:val="0"/>
        <w:rPr>
          <w:rFonts w:cs="Arial"/>
          <w:sz w:val="22"/>
          <w:szCs w:val="22"/>
          <w:lang w:val="en-US"/>
        </w:rPr>
      </w:pPr>
    </w:p>
    <w:p w14:paraId="45B05D3F" w14:textId="77777777" w:rsidR="00C550A1" w:rsidRPr="00B6509D" w:rsidRDefault="00C550A1" w:rsidP="00C550A1">
      <w:pPr>
        <w:pStyle w:val="Title"/>
        <w:pBdr>
          <w:top w:val="thinThickThinSmallGap" w:sz="24" w:space="18" w:color="auto"/>
          <w:left w:val="thinThickThinSmallGap" w:sz="24" w:space="31" w:color="auto"/>
          <w:bottom w:val="thinThickThinSmallGap" w:sz="24" w:space="31" w:color="auto"/>
          <w:right w:val="thinThickThinSmallGap" w:sz="24" w:space="31" w:color="auto"/>
        </w:pBdr>
        <w:tabs>
          <w:tab w:val="left" w:pos="3045"/>
          <w:tab w:val="center" w:pos="4513"/>
        </w:tabs>
        <w:outlineLvl w:val="0"/>
        <w:rPr>
          <w:rFonts w:cs="Arial"/>
          <w:sz w:val="22"/>
          <w:szCs w:val="22"/>
          <w:lang w:val="en-US"/>
        </w:rPr>
      </w:pPr>
    </w:p>
    <w:p w14:paraId="19F60E1C" w14:textId="77777777" w:rsidR="00991FFE" w:rsidRPr="00B6509D" w:rsidRDefault="00991FFE" w:rsidP="00C550A1">
      <w:pPr>
        <w:pStyle w:val="Title"/>
        <w:pBdr>
          <w:top w:val="thinThickThinSmallGap" w:sz="24" w:space="18" w:color="auto"/>
          <w:left w:val="thinThickThinSmallGap" w:sz="24" w:space="31" w:color="auto"/>
          <w:bottom w:val="thinThickThinSmallGap" w:sz="24" w:space="31" w:color="auto"/>
          <w:right w:val="thinThickThinSmallGap" w:sz="24" w:space="31" w:color="auto"/>
        </w:pBdr>
        <w:tabs>
          <w:tab w:val="left" w:pos="3045"/>
          <w:tab w:val="center" w:pos="4513"/>
        </w:tabs>
        <w:outlineLvl w:val="0"/>
        <w:rPr>
          <w:rFonts w:cs="Arial"/>
          <w:sz w:val="22"/>
          <w:szCs w:val="22"/>
          <w:lang w:val="en-US"/>
        </w:rPr>
      </w:pPr>
    </w:p>
    <w:p w14:paraId="0F8801F2" w14:textId="77777777" w:rsidR="00991FFE" w:rsidRPr="00B6509D" w:rsidRDefault="00991FFE" w:rsidP="00C550A1">
      <w:pPr>
        <w:pStyle w:val="Title"/>
        <w:pBdr>
          <w:top w:val="thinThickThinSmallGap" w:sz="24" w:space="18" w:color="auto"/>
          <w:left w:val="thinThickThinSmallGap" w:sz="24" w:space="31" w:color="auto"/>
          <w:bottom w:val="thinThickThinSmallGap" w:sz="24" w:space="31" w:color="auto"/>
          <w:right w:val="thinThickThinSmallGap" w:sz="24" w:space="31" w:color="auto"/>
        </w:pBdr>
        <w:tabs>
          <w:tab w:val="left" w:pos="3045"/>
          <w:tab w:val="center" w:pos="4513"/>
        </w:tabs>
        <w:outlineLvl w:val="0"/>
        <w:rPr>
          <w:rFonts w:cs="Arial"/>
          <w:sz w:val="22"/>
          <w:szCs w:val="22"/>
          <w:lang w:val="en-US"/>
        </w:rPr>
      </w:pPr>
    </w:p>
    <w:p w14:paraId="6FBF561C" w14:textId="77777777" w:rsidR="00991FFE" w:rsidRPr="00B6509D" w:rsidRDefault="00991FFE" w:rsidP="00C550A1">
      <w:pPr>
        <w:pStyle w:val="Title"/>
        <w:pBdr>
          <w:top w:val="thinThickThinSmallGap" w:sz="24" w:space="18" w:color="auto"/>
          <w:left w:val="thinThickThinSmallGap" w:sz="24" w:space="31" w:color="auto"/>
          <w:bottom w:val="thinThickThinSmallGap" w:sz="24" w:space="31" w:color="auto"/>
          <w:right w:val="thinThickThinSmallGap" w:sz="24" w:space="31" w:color="auto"/>
        </w:pBdr>
        <w:tabs>
          <w:tab w:val="left" w:pos="3045"/>
          <w:tab w:val="center" w:pos="4513"/>
        </w:tabs>
        <w:outlineLvl w:val="0"/>
        <w:rPr>
          <w:rFonts w:cs="Arial"/>
          <w:sz w:val="22"/>
          <w:szCs w:val="22"/>
          <w:lang w:val="en-US"/>
        </w:rPr>
      </w:pPr>
    </w:p>
    <w:p w14:paraId="1A576F07" w14:textId="77777777" w:rsidR="00991FFE" w:rsidRPr="00B6509D" w:rsidRDefault="00991FFE" w:rsidP="00C550A1">
      <w:pPr>
        <w:pStyle w:val="Title"/>
        <w:pBdr>
          <w:top w:val="thinThickThinSmallGap" w:sz="24" w:space="18" w:color="auto"/>
          <w:left w:val="thinThickThinSmallGap" w:sz="24" w:space="31" w:color="auto"/>
          <w:bottom w:val="thinThickThinSmallGap" w:sz="24" w:space="31" w:color="auto"/>
          <w:right w:val="thinThickThinSmallGap" w:sz="24" w:space="31" w:color="auto"/>
        </w:pBdr>
        <w:tabs>
          <w:tab w:val="left" w:pos="3045"/>
          <w:tab w:val="center" w:pos="4513"/>
        </w:tabs>
        <w:jc w:val="left"/>
        <w:outlineLvl w:val="0"/>
        <w:rPr>
          <w:rFonts w:cs="Arial"/>
          <w:sz w:val="22"/>
          <w:szCs w:val="22"/>
          <w:lang w:val="en-US"/>
        </w:rPr>
      </w:pPr>
    </w:p>
    <w:p w14:paraId="274B26F4" w14:textId="77777777" w:rsidR="00380C2F" w:rsidRDefault="00380C2F" w:rsidP="00C550A1">
      <w:pPr>
        <w:pStyle w:val="Title"/>
        <w:pBdr>
          <w:top w:val="thinThickThinSmallGap" w:sz="24" w:space="18" w:color="auto"/>
          <w:left w:val="thinThickThinSmallGap" w:sz="24" w:space="31" w:color="auto"/>
          <w:bottom w:val="thinThickThinSmallGap" w:sz="24" w:space="31" w:color="auto"/>
          <w:right w:val="thinThickThinSmallGap" w:sz="24" w:space="31" w:color="auto"/>
        </w:pBdr>
        <w:tabs>
          <w:tab w:val="left" w:pos="3045"/>
          <w:tab w:val="center" w:pos="4513"/>
        </w:tabs>
        <w:jc w:val="left"/>
        <w:outlineLvl w:val="0"/>
        <w:rPr>
          <w:rFonts w:cs="Arial"/>
          <w:sz w:val="22"/>
          <w:szCs w:val="22"/>
          <w:lang w:val="en-US"/>
        </w:rPr>
      </w:pPr>
    </w:p>
    <w:p w14:paraId="09221617" w14:textId="77777777" w:rsidR="00A37D3B" w:rsidRDefault="00A37D3B" w:rsidP="00C550A1">
      <w:pPr>
        <w:pStyle w:val="Title"/>
        <w:pBdr>
          <w:top w:val="thinThickThinSmallGap" w:sz="24" w:space="18" w:color="auto"/>
          <w:left w:val="thinThickThinSmallGap" w:sz="24" w:space="31" w:color="auto"/>
          <w:bottom w:val="thinThickThinSmallGap" w:sz="24" w:space="31" w:color="auto"/>
          <w:right w:val="thinThickThinSmallGap" w:sz="24" w:space="31" w:color="auto"/>
        </w:pBdr>
        <w:tabs>
          <w:tab w:val="left" w:pos="3045"/>
          <w:tab w:val="center" w:pos="4513"/>
        </w:tabs>
        <w:jc w:val="left"/>
        <w:outlineLvl w:val="0"/>
        <w:rPr>
          <w:rFonts w:cs="Arial"/>
          <w:sz w:val="22"/>
          <w:szCs w:val="22"/>
          <w:lang w:val="en-US"/>
        </w:rPr>
      </w:pPr>
    </w:p>
    <w:p w14:paraId="7BB633B6" w14:textId="77777777" w:rsidR="00A37D3B" w:rsidRDefault="00A37D3B" w:rsidP="00C550A1">
      <w:pPr>
        <w:pStyle w:val="Title"/>
        <w:pBdr>
          <w:top w:val="thinThickThinSmallGap" w:sz="24" w:space="18" w:color="auto"/>
          <w:left w:val="thinThickThinSmallGap" w:sz="24" w:space="31" w:color="auto"/>
          <w:bottom w:val="thinThickThinSmallGap" w:sz="24" w:space="31" w:color="auto"/>
          <w:right w:val="thinThickThinSmallGap" w:sz="24" w:space="31" w:color="auto"/>
        </w:pBdr>
        <w:tabs>
          <w:tab w:val="left" w:pos="3045"/>
          <w:tab w:val="center" w:pos="4513"/>
        </w:tabs>
        <w:jc w:val="left"/>
        <w:outlineLvl w:val="0"/>
        <w:rPr>
          <w:rFonts w:cs="Arial"/>
          <w:sz w:val="22"/>
          <w:szCs w:val="22"/>
          <w:lang w:val="en-US"/>
        </w:rPr>
      </w:pPr>
    </w:p>
    <w:p w14:paraId="17EAD8A3" w14:textId="77777777" w:rsidR="00A37D3B" w:rsidRDefault="00A37D3B" w:rsidP="00C550A1">
      <w:pPr>
        <w:pStyle w:val="Title"/>
        <w:pBdr>
          <w:top w:val="thinThickThinSmallGap" w:sz="24" w:space="18" w:color="auto"/>
          <w:left w:val="thinThickThinSmallGap" w:sz="24" w:space="31" w:color="auto"/>
          <w:bottom w:val="thinThickThinSmallGap" w:sz="24" w:space="31" w:color="auto"/>
          <w:right w:val="thinThickThinSmallGap" w:sz="24" w:space="31" w:color="auto"/>
        </w:pBdr>
        <w:tabs>
          <w:tab w:val="left" w:pos="3045"/>
          <w:tab w:val="center" w:pos="4513"/>
        </w:tabs>
        <w:jc w:val="left"/>
        <w:outlineLvl w:val="0"/>
        <w:rPr>
          <w:rFonts w:cs="Arial"/>
          <w:sz w:val="22"/>
          <w:szCs w:val="22"/>
          <w:lang w:val="en-US"/>
        </w:rPr>
      </w:pPr>
    </w:p>
    <w:p w14:paraId="2785A116" w14:textId="77777777" w:rsidR="00A37D3B" w:rsidRDefault="00A37D3B" w:rsidP="00C550A1">
      <w:pPr>
        <w:pStyle w:val="Title"/>
        <w:pBdr>
          <w:top w:val="thinThickThinSmallGap" w:sz="24" w:space="18" w:color="auto"/>
          <w:left w:val="thinThickThinSmallGap" w:sz="24" w:space="31" w:color="auto"/>
          <w:bottom w:val="thinThickThinSmallGap" w:sz="24" w:space="31" w:color="auto"/>
          <w:right w:val="thinThickThinSmallGap" w:sz="24" w:space="31" w:color="auto"/>
        </w:pBdr>
        <w:tabs>
          <w:tab w:val="left" w:pos="3045"/>
          <w:tab w:val="center" w:pos="4513"/>
        </w:tabs>
        <w:jc w:val="left"/>
        <w:outlineLvl w:val="0"/>
        <w:rPr>
          <w:rFonts w:cs="Arial"/>
          <w:sz w:val="22"/>
          <w:szCs w:val="22"/>
          <w:lang w:val="en-US"/>
        </w:rPr>
      </w:pPr>
    </w:p>
    <w:p w14:paraId="4C81817D" w14:textId="77777777" w:rsidR="00A37D3B" w:rsidRDefault="00A37D3B" w:rsidP="00C550A1">
      <w:pPr>
        <w:pStyle w:val="Title"/>
        <w:pBdr>
          <w:top w:val="thinThickThinSmallGap" w:sz="24" w:space="18" w:color="auto"/>
          <w:left w:val="thinThickThinSmallGap" w:sz="24" w:space="31" w:color="auto"/>
          <w:bottom w:val="thinThickThinSmallGap" w:sz="24" w:space="31" w:color="auto"/>
          <w:right w:val="thinThickThinSmallGap" w:sz="24" w:space="31" w:color="auto"/>
        </w:pBdr>
        <w:tabs>
          <w:tab w:val="left" w:pos="3045"/>
          <w:tab w:val="center" w:pos="4513"/>
        </w:tabs>
        <w:jc w:val="left"/>
        <w:outlineLvl w:val="0"/>
        <w:rPr>
          <w:rFonts w:cs="Arial"/>
          <w:sz w:val="22"/>
          <w:szCs w:val="22"/>
          <w:lang w:val="en-US"/>
        </w:rPr>
      </w:pPr>
    </w:p>
    <w:p w14:paraId="1F51709A" w14:textId="77777777" w:rsidR="00A37D3B" w:rsidRDefault="00A37D3B" w:rsidP="00C550A1">
      <w:pPr>
        <w:pStyle w:val="Title"/>
        <w:pBdr>
          <w:top w:val="thinThickThinSmallGap" w:sz="24" w:space="18" w:color="auto"/>
          <w:left w:val="thinThickThinSmallGap" w:sz="24" w:space="31" w:color="auto"/>
          <w:bottom w:val="thinThickThinSmallGap" w:sz="24" w:space="31" w:color="auto"/>
          <w:right w:val="thinThickThinSmallGap" w:sz="24" w:space="31" w:color="auto"/>
        </w:pBdr>
        <w:tabs>
          <w:tab w:val="left" w:pos="3045"/>
          <w:tab w:val="center" w:pos="4513"/>
        </w:tabs>
        <w:jc w:val="left"/>
        <w:outlineLvl w:val="0"/>
        <w:rPr>
          <w:rFonts w:cs="Arial"/>
          <w:sz w:val="22"/>
          <w:szCs w:val="22"/>
          <w:lang w:val="en-US"/>
        </w:rPr>
      </w:pPr>
    </w:p>
    <w:p w14:paraId="125995C5" w14:textId="77777777" w:rsidR="00A37D3B" w:rsidRDefault="00A37D3B" w:rsidP="00C550A1">
      <w:pPr>
        <w:pStyle w:val="Title"/>
        <w:pBdr>
          <w:top w:val="thinThickThinSmallGap" w:sz="24" w:space="18" w:color="auto"/>
          <w:left w:val="thinThickThinSmallGap" w:sz="24" w:space="31" w:color="auto"/>
          <w:bottom w:val="thinThickThinSmallGap" w:sz="24" w:space="31" w:color="auto"/>
          <w:right w:val="thinThickThinSmallGap" w:sz="24" w:space="31" w:color="auto"/>
        </w:pBdr>
        <w:tabs>
          <w:tab w:val="left" w:pos="3045"/>
          <w:tab w:val="center" w:pos="4513"/>
        </w:tabs>
        <w:jc w:val="left"/>
        <w:outlineLvl w:val="0"/>
        <w:rPr>
          <w:rFonts w:cs="Arial"/>
          <w:sz w:val="22"/>
          <w:szCs w:val="22"/>
          <w:lang w:val="en-US"/>
        </w:rPr>
      </w:pPr>
    </w:p>
    <w:p w14:paraId="11D36788" w14:textId="77777777" w:rsidR="00A37D3B" w:rsidRDefault="00A37D3B" w:rsidP="00C550A1">
      <w:pPr>
        <w:pStyle w:val="Title"/>
        <w:pBdr>
          <w:top w:val="thinThickThinSmallGap" w:sz="24" w:space="18" w:color="auto"/>
          <w:left w:val="thinThickThinSmallGap" w:sz="24" w:space="31" w:color="auto"/>
          <w:bottom w:val="thinThickThinSmallGap" w:sz="24" w:space="31" w:color="auto"/>
          <w:right w:val="thinThickThinSmallGap" w:sz="24" w:space="31" w:color="auto"/>
        </w:pBdr>
        <w:tabs>
          <w:tab w:val="left" w:pos="3045"/>
          <w:tab w:val="center" w:pos="4513"/>
        </w:tabs>
        <w:jc w:val="left"/>
        <w:outlineLvl w:val="0"/>
        <w:rPr>
          <w:rFonts w:cs="Arial"/>
          <w:sz w:val="22"/>
          <w:szCs w:val="22"/>
          <w:lang w:val="en-US"/>
        </w:rPr>
      </w:pPr>
    </w:p>
    <w:p w14:paraId="76379263" w14:textId="77777777" w:rsidR="00A37D3B" w:rsidRDefault="00A37D3B" w:rsidP="00C550A1">
      <w:pPr>
        <w:pStyle w:val="Title"/>
        <w:pBdr>
          <w:top w:val="thinThickThinSmallGap" w:sz="24" w:space="18" w:color="auto"/>
          <w:left w:val="thinThickThinSmallGap" w:sz="24" w:space="31" w:color="auto"/>
          <w:bottom w:val="thinThickThinSmallGap" w:sz="24" w:space="31" w:color="auto"/>
          <w:right w:val="thinThickThinSmallGap" w:sz="24" w:space="31" w:color="auto"/>
        </w:pBdr>
        <w:tabs>
          <w:tab w:val="left" w:pos="3045"/>
          <w:tab w:val="center" w:pos="4513"/>
        </w:tabs>
        <w:jc w:val="left"/>
        <w:outlineLvl w:val="0"/>
        <w:rPr>
          <w:rFonts w:cs="Arial"/>
          <w:sz w:val="22"/>
          <w:szCs w:val="22"/>
          <w:lang w:val="en-US"/>
        </w:rPr>
      </w:pPr>
    </w:p>
    <w:p w14:paraId="4CF7D2D4" w14:textId="77777777" w:rsidR="00A37D3B" w:rsidRDefault="00A37D3B" w:rsidP="00C550A1">
      <w:pPr>
        <w:pStyle w:val="Title"/>
        <w:pBdr>
          <w:top w:val="thinThickThinSmallGap" w:sz="24" w:space="18" w:color="auto"/>
          <w:left w:val="thinThickThinSmallGap" w:sz="24" w:space="31" w:color="auto"/>
          <w:bottom w:val="thinThickThinSmallGap" w:sz="24" w:space="31" w:color="auto"/>
          <w:right w:val="thinThickThinSmallGap" w:sz="24" w:space="31" w:color="auto"/>
        </w:pBdr>
        <w:tabs>
          <w:tab w:val="left" w:pos="3045"/>
          <w:tab w:val="center" w:pos="4513"/>
        </w:tabs>
        <w:jc w:val="left"/>
        <w:outlineLvl w:val="0"/>
        <w:rPr>
          <w:rFonts w:cs="Arial"/>
          <w:sz w:val="22"/>
          <w:szCs w:val="22"/>
          <w:lang w:val="en-US"/>
        </w:rPr>
      </w:pPr>
    </w:p>
    <w:p w14:paraId="5A5FFA63" w14:textId="77777777" w:rsidR="00A37D3B" w:rsidRDefault="00A37D3B" w:rsidP="00C550A1">
      <w:pPr>
        <w:pStyle w:val="Title"/>
        <w:pBdr>
          <w:top w:val="thinThickThinSmallGap" w:sz="24" w:space="18" w:color="auto"/>
          <w:left w:val="thinThickThinSmallGap" w:sz="24" w:space="31" w:color="auto"/>
          <w:bottom w:val="thinThickThinSmallGap" w:sz="24" w:space="31" w:color="auto"/>
          <w:right w:val="thinThickThinSmallGap" w:sz="24" w:space="31" w:color="auto"/>
        </w:pBdr>
        <w:tabs>
          <w:tab w:val="left" w:pos="3045"/>
          <w:tab w:val="center" w:pos="4513"/>
        </w:tabs>
        <w:jc w:val="left"/>
        <w:outlineLvl w:val="0"/>
        <w:rPr>
          <w:rFonts w:cs="Arial"/>
          <w:sz w:val="22"/>
          <w:szCs w:val="22"/>
          <w:lang w:val="en-US"/>
        </w:rPr>
      </w:pPr>
    </w:p>
    <w:p w14:paraId="2F158CF8" w14:textId="77777777" w:rsidR="00A37D3B" w:rsidRDefault="00A37D3B" w:rsidP="00C550A1">
      <w:pPr>
        <w:pStyle w:val="Title"/>
        <w:pBdr>
          <w:top w:val="thinThickThinSmallGap" w:sz="24" w:space="18" w:color="auto"/>
          <w:left w:val="thinThickThinSmallGap" w:sz="24" w:space="31" w:color="auto"/>
          <w:bottom w:val="thinThickThinSmallGap" w:sz="24" w:space="31" w:color="auto"/>
          <w:right w:val="thinThickThinSmallGap" w:sz="24" w:space="31" w:color="auto"/>
        </w:pBdr>
        <w:tabs>
          <w:tab w:val="left" w:pos="3045"/>
          <w:tab w:val="center" w:pos="4513"/>
        </w:tabs>
        <w:jc w:val="left"/>
        <w:outlineLvl w:val="0"/>
        <w:rPr>
          <w:rFonts w:cs="Arial"/>
          <w:sz w:val="22"/>
          <w:szCs w:val="22"/>
          <w:lang w:val="en-US"/>
        </w:rPr>
      </w:pPr>
    </w:p>
    <w:p w14:paraId="1F3662D7" w14:textId="46C1661B" w:rsidR="00A37D3B" w:rsidRPr="00B6509D" w:rsidRDefault="00A37D3B" w:rsidP="00C550A1">
      <w:pPr>
        <w:pStyle w:val="Title"/>
        <w:pBdr>
          <w:top w:val="thinThickThinSmallGap" w:sz="24" w:space="18" w:color="auto"/>
          <w:left w:val="thinThickThinSmallGap" w:sz="24" w:space="31" w:color="auto"/>
          <w:bottom w:val="thinThickThinSmallGap" w:sz="24" w:space="31" w:color="auto"/>
          <w:right w:val="thinThickThinSmallGap" w:sz="24" w:space="31" w:color="auto"/>
        </w:pBdr>
        <w:tabs>
          <w:tab w:val="left" w:pos="3045"/>
          <w:tab w:val="center" w:pos="4513"/>
        </w:tabs>
        <w:jc w:val="left"/>
        <w:outlineLvl w:val="0"/>
        <w:rPr>
          <w:rFonts w:cs="Arial"/>
          <w:sz w:val="22"/>
          <w:szCs w:val="22"/>
          <w:lang w:val="en-US"/>
        </w:rPr>
      </w:pPr>
    </w:p>
    <w:p w14:paraId="520EE500" w14:textId="77777777" w:rsidR="00572F4C" w:rsidRDefault="00572F4C">
      <w:pPr>
        <w:spacing w:after="0" w:line="240" w:lineRule="auto"/>
        <w:rPr>
          <w:rFonts w:ascii="Arial" w:hAnsi="Arial" w:cs="Arial"/>
          <w:lang w:val="en-US"/>
        </w:rPr>
      </w:pPr>
      <w:r>
        <w:rPr>
          <w:rFonts w:ascii="Arial" w:hAnsi="Arial" w:cs="Arial"/>
          <w:lang w:val="en-US"/>
        </w:rPr>
        <w:br w:type="page"/>
      </w:r>
    </w:p>
    <w:p w14:paraId="3F11C920" w14:textId="77777777" w:rsidR="00572F4C" w:rsidRDefault="00572F4C" w:rsidP="008C697D">
      <w:pPr>
        <w:jc w:val="center"/>
        <w:rPr>
          <w:rFonts w:ascii="Arial" w:hAnsi="Arial" w:cs="Arial"/>
          <w:lang w:val="en-US"/>
        </w:rPr>
        <w:sectPr w:rsidR="00572F4C" w:rsidSect="007554D3">
          <w:footerReference w:type="even" r:id="rId9"/>
          <w:footerReference w:type="default" r:id="rId10"/>
          <w:footerReference w:type="first" r:id="rId11"/>
          <w:pgSz w:w="11906" w:h="16838"/>
          <w:pgMar w:top="1260" w:right="1440" w:bottom="1440" w:left="1440" w:header="720" w:footer="720" w:gutter="0"/>
          <w:pgNumType w:start="0"/>
          <w:cols w:space="720"/>
          <w:titlePg/>
          <w:docGrid w:linePitch="360"/>
        </w:sectPr>
      </w:pPr>
    </w:p>
    <w:p w14:paraId="797DEC60" w14:textId="66743BF4" w:rsidR="0076250B" w:rsidRDefault="0076250B" w:rsidP="008C697D">
      <w:pPr>
        <w:pStyle w:val="ListParagraph"/>
        <w:ind w:left="360"/>
        <w:jc w:val="both"/>
        <w:rPr>
          <w:rFonts w:ascii="Garamond" w:hAnsi="Garamond" w:cs="Arial"/>
          <w:lang w:val="en-US"/>
        </w:rPr>
      </w:pPr>
    </w:p>
    <w:sdt>
      <w:sdtPr>
        <w:rPr>
          <w:rFonts w:ascii="Calibri" w:eastAsia="Calibri" w:hAnsi="Calibri" w:cs="Times New Roman"/>
          <w:color w:val="auto"/>
          <w:sz w:val="22"/>
          <w:szCs w:val="22"/>
          <w:lang w:val="fr-FR" w:eastAsia="fr-FR" w:bidi="fr-FR"/>
        </w:rPr>
        <w:id w:val="352622313"/>
        <w:docPartObj>
          <w:docPartGallery w:val="Table of Contents"/>
          <w:docPartUnique/>
        </w:docPartObj>
      </w:sdtPr>
      <w:sdtEndPr>
        <w:rPr>
          <w:b/>
          <w:bCs/>
          <w:noProof/>
        </w:rPr>
      </w:sdtEndPr>
      <w:sdtContent>
        <w:p w14:paraId="5C11D808" w14:textId="302B5C59" w:rsidR="00A705E7" w:rsidRDefault="00A705E7">
          <w:pPr>
            <w:pStyle w:val="TOCHeading"/>
          </w:pPr>
          <w:r>
            <w:t>Table of Contents</w:t>
          </w:r>
        </w:p>
        <w:p w14:paraId="3713C0DB" w14:textId="5932BD39" w:rsidR="00756A55" w:rsidRDefault="00A705E7">
          <w:pPr>
            <w:pStyle w:val="TOC1"/>
            <w:tabs>
              <w:tab w:val="right" w:leader="dot" w:pos="9016"/>
            </w:tabs>
            <w:rPr>
              <w:rFonts w:asciiTheme="minorHAnsi" w:eastAsiaTheme="minorEastAsia" w:hAnsiTheme="minorHAnsi" w:cstheme="minorBidi"/>
              <w:noProof/>
              <w:lang w:val="en-US" w:eastAsia="en-US" w:bidi="ar-SA"/>
            </w:rPr>
          </w:pPr>
          <w:r>
            <w:fldChar w:fldCharType="begin"/>
          </w:r>
          <w:r>
            <w:instrText xml:space="preserve"> TOC \o "1-3" \h \z \u </w:instrText>
          </w:r>
          <w:r>
            <w:fldChar w:fldCharType="separate"/>
          </w:r>
        </w:p>
        <w:p w14:paraId="0BDA6615" w14:textId="64F8A86C" w:rsidR="00756A55" w:rsidRDefault="009E2EC1">
          <w:pPr>
            <w:pStyle w:val="TOC1"/>
            <w:tabs>
              <w:tab w:val="left" w:pos="440"/>
              <w:tab w:val="right" w:leader="dot" w:pos="9016"/>
            </w:tabs>
            <w:rPr>
              <w:rFonts w:asciiTheme="minorHAnsi" w:eastAsiaTheme="minorEastAsia" w:hAnsiTheme="minorHAnsi" w:cstheme="minorBidi"/>
              <w:noProof/>
              <w:lang w:val="en-US" w:eastAsia="en-US" w:bidi="ar-SA"/>
            </w:rPr>
          </w:pPr>
          <w:hyperlink w:anchor="_Toc70943214" w:history="1">
            <w:r w:rsidR="00756A55" w:rsidRPr="009152C0">
              <w:rPr>
                <w:rStyle w:val="Hyperlink"/>
                <w:rFonts w:ascii="Arial" w:hAnsi="Arial" w:cs="Arial"/>
                <w:noProof/>
              </w:rPr>
              <w:t>1.</w:t>
            </w:r>
            <w:r w:rsidR="00756A55">
              <w:rPr>
                <w:rFonts w:asciiTheme="minorHAnsi" w:eastAsiaTheme="minorEastAsia" w:hAnsiTheme="minorHAnsi" w:cstheme="minorBidi"/>
                <w:noProof/>
                <w:lang w:val="en-US" w:eastAsia="en-US" w:bidi="ar-SA"/>
              </w:rPr>
              <w:tab/>
            </w:r>
            <w:r w:rsidR="00756A55" w:rsidRPr="009152C0">
              <w:rPr>
                <w:rStyle w:val="Hyperlink"/>
                <w:rFonts w:ascii="Arial" w:hAnsi="Arial" w:cs="Arial"/>
                <w:noProof/>
              </w:rPr>
              <w:t>Background</w:t>
            </w:r>
            <w:r w:rsidR="00756A55">
              <w:rPr>
                <w:noProof/>
                <w:webHidden/>
              </w:rPr>
              <w:tab/>
            </w:r>
            <w:r w:rsidR="00756A55">
              <w:rPr>
                <w:noProof/>
                <w:webHidden/>
              </w:rPr>
              <w:fldChar w:fldCharType="begin"/>
            </w:r>
            <w:r w:rsidR="00756A55">
              <w:rPr>
                <w:noProof/>
                <w:webHidden/>
              </w:rPr>
              <w:instrText xml:space="preserve"> PAGEREF _Toc70943214 \h </w:instrText>
            </w:r>
            <w:r w:rsidR="00756A55">
              <w:rPr>
                <w:noProof/>
                <w:webHidden/>
              </w:rPr>
            </w:r>
            <w:r w:rsidR="00756A55">
              <w:rPr>
                <w:noProof/>
                <w:webHidden/>
              </w:rPr>
              <w:fldChar w:fldCharType="separate"/>
            </w:r>
            <w:r w:rsidR="008762B4">
              <w:rPr>
                <w:noProof/>
                <w:webHidden/>
              </w:rPr>
              <w:t>1</w:t>
            </w:r>
            <w:r w:rsidR="00756A55">
              <w:rPr>
                <w:noProof/>
                <w:webHidden/>
              </w:rPr>
              <w:fldChar w:fldCharType="end"/>
            </w:r>
          </w:hyperlink>
        </w:p>
        <w:p w14:paraId="548AE2E8" w14:textId="227D6A50" w:rsidR="00756A55" w:rsidRDefault="009E2EC1">
          <w:pPr>
            <w:pStyle w:val="TOC1"/>
            <w:tabs>
              <w:tab w:val="left" w:pos="440"/>
              <w:tab w:val="right" w:leader="dot" w:pos="9016"/>
            </w:tabs>
            <w:rPr>
              <w:rFonts w:asciiTheme="minorHAnsi" w:eastAsiaTheme="minorEastAsia" w:hAnsiTheme="minorHAnsi" w:cstheme="minorBidi"/>
              <w:noProof/>
              <w:lang w:val="en-US" w:eastAsia="en-US" w:bidi="ar-SA"/>
            </w:rPr>
          </w:pPr>
          <w:hyperlink w:anchor="_Toc70943215" w:history="1">
            <w:r w:rsidR="00756A55" w:rsidRPr="009152C0">
              <w:rPr>
                <w:rStyle w:val="Hyperlink"/>
                <w:rFonts w:ascii="Arial" w:hAnsi="Arial" w:cs="Arial"/>
                <w:noProof/>
              </w:rPr>
              <w:t>2</w:t>
            </w:r>
            <w:r w:rsidR="00756A55">
              <w:rPr>
                <w:rFonts w:asciiTheme="minorHAnsi" w:eastAsiaTheme="minorEastAsia" w:hAnsiTheme="minorHAnsi" w:cstheme="minorBidi"/>
                <w:noProof/>
                <w:lang w:val="en-US" w:eastAsia="en-US" w:bidi="ar-SA"/>
              </w:rPr>
              <w:tab/>
            </w:r>
            <w:r w:rsidR="00756A55" w:rsidRPr="009152C0">
              <w:rPr>
                <w:rStyle w:val="Hyperlink"/>
                <w:rFonts w:ascii="Arial" w:hAnsi="Arial" w:cs="Arial"/>
                <w:noProof/>
              </w:rPr>
              <w:t>Growth</w:t>
            </w:r>
            <w:r w:rsidR="00756A55">
              <w:rPr>
                <w:noProof/>
                <w:webHidden/>
              </w:rPr>
              <w:tab/>
            </w:r>
            <w:r w:rsidR="00756A55">
              <w:rPr>
                <w:noProof/>
                <w:webHidden/>
              </w:rPr>
              <w:fldChar w:fldCharType="begin"/>
            </w:r>
            <w:r w:rsidR="00756A55">
              <w:rPr>
                <w:noProof/>
                <w:webHidden/>
              </w:rPr>
              <w:instrText xml:space="preserve"> PAGEREF _Toc70943215 \h </w:instrText>
            </w:r>
            <w:r w:rsidR="00756A55">
              <w:rPr>
                <w:noProof/>
                <w:webHidden/>
              </w:rPr>
            </w:r>
            <w:r w:rsidR="00756A55">
              <w:rPr>
                <w:noProof/>
                <w:webHidden/>
              </w:rPr>
              <w:fldChar w:fldCharType="separate"/>
            </w:r>
            <w:r w:rsidR="008762B4">
              <w:rPr>
                <w:noProof/>
                <w:webHidden/>
              </w:rPr>
              <w:t>1</w:t>
            </w:r>
            <w:r w:rsidR="00756A55">
              <w:rPr>
                <w:noProof/>
                <w:webHidden/>
              </w:rPr>
              <w:fldChar w:fldCharType="end"/>
            </w:r>
          </w:hyperlink>
        </w:p>
        <w:p w14:paraId="6F2FCFB8" w14:textId="0317FC8E" w:rsidR="00756A55" w:rsidRDefault="009E2EC1">
          <w:pPr>
            <w:pStyle w:val="TOC1"/>
            <w:tabs>
              <w:tab w:val="left" w:pos="440"/>
              <w:tab w:val="right" w:leader="dot" w:pos="9016"/>
            </w:tabs>
            <w:rPr>
              <w:rFonts w:asciiTheme="minorHAnsi" w:eastAsiaTheme="minorEastAsia" w:hAnsiTheme="minorHAnsi" w:cstheme="minorBidi"/>
              <w:noProof/>
              <w:lang w:val="en-US" w:eastAsia="en-US" w:bidi="ar-SA"/>
            </w:rPr>
          </w:pPr>
          <w:hyperlink w:anchor="_Toc70943216" w:history="1">
            <w:r w:rsidR="00756A55" w:rsidRPr="009152C0">
              <w:rPr>
                <w:rStyle w:val="Hyperlink"/>
                <w:rFonts w:ascii="Arial" w:hAnsi="Arial" w:cs="Arial"/>
                <w:noProof/>
              </w:rPr>
              <w:t>3</w:t>
            </w:r>
            <w:r w:rsidR="00756A55">
              <w:rPr>
                <w:rFonts w:asciiTheme="minorHAnsi" w:eastAsiaTheme="minorEastAsia" w:hAnsiTheme="minorHAnsi" w:cstheme="minorBidi"/>
                <w:noProof/>
                <w:lang w:val="en-US" w:eastAsia="en-US" w:bidi="ar-SA"/>
              </w:rPr>
              <w:tab/>
            </w:r>
            <w:r w:rsidR="00756A55" w:rsidRPr="009152C0">
              <w:rPr>
                <w:rStyle w:val="Hyperlink"/>
                <w:rFonts w:ascii="Arial" w:hAnsi="Arial" w:cs="Arial"/>
                <w:noProof/>
              </w:rPr>
              <w:t>Inflation Rate</w:t>
            </w:r>
            <w:r w:rsidR="00756A55">
              <w:rPr>
                <w:noProof/>
                <w:webHidden/>
              </w:rPr>
              <w:tab/>
            </w:r>
            <w:r w:rsidR="00756A55">
              <w:rPr>
                <w:noProof/>
                <w:webHidden/>
              </w:rPr>
              <w:fldChar w:fldCharType="begin"/>
            </w:r>
            <w:r w:rsidR="00756A55">
              <w:rPr>
                <w:noProof/>
                <w:webHidden/>
              </w:rPr>
              <w:instrText xml:space="preserve"> PAGEREF _Toc70943216 \h </w:instrText>
            </w:r>
            <w:r w:rsidR="00756A55">
              <w:rPr>
                <w:noProof/>
                <w:webHidden/>
              </w:rPr>
            </w:r>
            <w:r w:rsidR="00756A55">
              <w:rPr>
                <w:noProof/>
                <w:webHidden/>
              </w:rPr>
              <w:fldChar w:fldCharType="separate"/>
            </w:r>
            <w:r w:rsidR="008762B4">
              <w:rPr>
                <w:noProof/>
                <w:webHidden/>
              </w:rPr>
              <w:t>2</w:t>
            </w:r>
            <w:r w:rsidR="00756A55">
              <w:rPr>
                <w:noProof/>
                <w:webHidden/>
              </w:rPr>
              <w:fldChar w:fldCharType="end"/>
            </w:r>
          </w:hyperlink>
        </w:p>
        <w:p w14:paraId="1840C633" w14:textId="27A166F7" w:rsidR="00756A55" w:rsidRDefault="009E2EC1">
          <w:pPr>
            <w:pStyle w:val="TOC1"/>
            <w:tabs>
              <w:tab w:val="left" w:pos="440"/>
              <w:tab w:val="right" w:leader="dot" w:pos="9016"/>
            </w:tabs>
            <w:rPr>
              <w:rFonts w:asciiTheme="minorHAnsi" w:eastAsiaTheme="minorEastAsia" w:hAnsiTheme="minorHAnsi" w:cstheme="minorBidi"/>
              <w:noProof/>
              <w:lang w:val="en-US" w:eastAsia="en-US" w:bidi="ar-SA"/>
            </w:rPr>
          </w:pPr>
          <w:hyperlink w:anchor="_Toc70943217" w:history="1">
            <w:r w:rsidR="00756A55" w:rsidRPr="009152C0">
              <w:rPr>
                <w:rStyle w:val="Hyperlink"/>
                <w:rFonts w:ascii="Arial" w:hAnsi="Arial" w:cs="Arial"/>
                <w:noProof/>
              </w:rPr>
              <w:t>4</w:t>
            </w:r>
            <w:r w:rsidR="00756A55">
              <w:rPr>
                <w:rFonts w:asciiTheme="minorHAnsi" w:eastAsiaTheme="minorEastAsia" w:hAnsiTheme="minorHAnsi" w:cstheme="minorBidi"/>
                <w:noProof/>
                <w:lang w:val="en-US" w:eastAsia="en-US" w:bidi="ar-SA"/>
              </w:rPr>
              <w:tab/>
            </w:r>
            <w:r w:rsidR="00756A55" w:rsidRPr="009152C0">
              <w:rPr>
                <w:rStyle w:val="Hyperlink"/>
                <w:rFonts w:ascii="Arial" w:hAnsi="Arial" w:cs="Arial"/>
                <w:noProof/>
              </w:rPr>
              <w:t>Monetary Policy and Exchange Rate developments</w:t>
            </w:r>
            <w:r w:rsidR="00756A55">
              <w:rPr>
                <w:noProof/>
                <w:webHidden/>
              </w:rPr>
              <w:tab/>
            </w:r>
            <w:r w:rsidR="00756A55">
              <w:rPr>
                <w:noProof/>
                <w:webHidden/>
              </w:rPr>
              <w:fldChar w:fldCharType="begin"/>
            </w:r>
            <w:r w:rsidR="00756A55">
              <w:rPr>
                <w:noProof/>
                <w:webHidden/>
              </w:rPr>
              <w:instrText xml:space="preserve"> PAGEREF _Toc70943217 \h </w:instrText>
            </w:r>
            <w:r w:rsidR="00756A55">
              <w:rPr>
                <w:noProof/>
                <w:webHidden/>
              </w:rPr>
            </w:r>
            <w:r w:rsidR="00756A55">
              <w:rPr>
                <w:noProof/>
                <w:webHidden/>
              </w:rPr>
              <w:fldChar w:fldCharType="separate"/>
            </w:r>
            <w:r w:rsidR="008762B4">
              <w:rPr>
                <w:noProof/>
                <w:webHidden/>
              </w:rPr>
              <w:t>2</w:t>
            </w:r>
            <w:r w:rsidR="00756A55">
              <w:rPr>
                <w:noProof/>
                <w:webHidden/>
              </w:rPr>
              <w:fldChar w:fldCharType="end"/>
            </w:r>
          </w:hyperlink>
        </w:p>
        <w:p w14:paraId="08004BDA" w14:textId="1B2F1855" w:rsidR="00756A55" w:rsidRDefault="009E2EC1">
          <w:pPr>
            <w:pStyle w:val="TOC1"/>
            <w:tabs>
              <w:tab w:val="left" w:pos="440"/>
              <w:tab w:val="right" w:leader="dot" w:pos="9016"/>
            </w:tabs>
            <w:rPr>
              <w:rFonts w:asciiTheme="minorHAnsi" w:eastAsiaTheme="minorEastAsia" w:hAnsiTheme="minorHAnsi" w:cstheme="minorBidi"/>
              <w:noProof/>
              <w:lang w:val="en-US" w:eastAsia="en-US" w:bidi="ar-SA"/>
            </w:rPr>
          </w:pPr>
          <w:hyperlink w:anchor="_Toc70943218" w:history="1">
            <w:r w:rsidR="00756A55" w:rsidRPr="009152C0">
              <w:rPr>
                <w:rStyle w:val="Hyperlink"/>
                <w:rFonts w:ascii="Arial" w:hAnsi="Arial" w:cs="Arial"/>
                <w:noProof/>
              </w:rPr>
              <w:t>5</w:t>
            </w:r>
            <w:r w:rsidR="00756A55">
              <w:rPr>
                <w:rFonts w:asciiTheme="minorHAnsi" w:eastAsiaTheme="minorEastAsia" w:hAnsiTheme="minorHAnsi" w:cstheme="minorBidi"/>
                <w:noProof/>
                <w:lang w:val="en-US" w:eastAsia="en-US" w:bidi="ar-SA"/>
              </w:rPr>
              <w:tab/>
            </w:r>
            <w:r w:rsidR="00756A55" w:rsidRPr="009152C0">
              <w:rPr>
                <w:rStyle w:val="Hyperlink"/>
                <w:rFonts w:ascii="Arial" w:hAnsi="Arial" w:cs="Arial"/>
                <w:noProof/>
              </w:rPr>
              <w:t>Overall Fiscal Balance Including Grants</w:t>
            </w:r>
            <w:r w:rsidR="00756A55">
              <w:rPr>
                <w:noProof/>
                <w:webHidden/>
              </w:rPr>
              <w:tab/>
            </w:r>
            <w:r w:rsidR="00756A55">
              <w:rPr>
                <w:noProof/>
                <w:webHidden/>
              </w:rPr>
              <w:fldChar w:fldCharType="begin"/>
            </w:r>
            <w:r w:rsidR="00756A55">
              <w:rPr>
                <w:noProof/>
                <w:webHidden/>
              </w:rPr>
              <w:instrText xml:space="preserve"> PAGEREF _Toc70943218 \h </w:instrText>
            </w:r>
            <w:r w:rsidR="00756A55">
              <w:rPr>
                <w:noProof/>
                <w:webHidden/>
              </w:rPr>
            </w:r>
            <w:r w:rsidR="00756A55">
              <w:rPr>
                <w:noProof/>
                <w:webHidden/>
              </w:rPr>
              <w:fldChar w:fldCharType="separate"/>
            </w:r>
            <w:r w:rsidR="008762B4">
              <w:rPr>
                <w:noProof/>
                <w:webHidden/>
              </w:rPr>
              <w:t>3</w:t>
            </w:r>
            <w:r w:rsidR="00756A55">
              <w:rPr>
                <w:noProof/>
                <w:webHidden/>
              </w:rPr>
              <w:fldChar w:fldCharType="end"/>
            </w:r>
          </w:hyperlink>
        </w:p>
        <w:p w14:paraId="0E6A9BF3" w14:textId="29A7A904" w:rsidR="00756A55" w:rsidRDefault="009E2EC1">
          <w:pPr>
            <w:pStyle w:val="TOC1"/>
            <w:tabs>
              <w:tab w:val="left" w:pos="440"/>
              <w:tab w:val="right" w:leader="dot" w:pos="9016"/>
            </w:tabs>
            <w:rPr>
              <w:rFonts w:asciiTheme="minorHAnsi" w:eastAsiaTheme="minorEastAsia" w:hAnsiTheme="minorHAnsi" w:cstheme="minorBidi"/>
              <w:noProof/>
              <w:lang w:val="en-US" w:eastAsia="en-US" w:bidi="ar-SA"/>
            </w:rPr>
          </w:pPr>
          <w:hyperlink w:anchor="_Toc70943219" w:history="1">
            <w:r w:rsidR="00756A55" w:rsidRPr="009152C0">
              <w:rPr>
                <w:rStyle w:val="Hyperlink"/>
                <w:rFonts w:ascii="Arial" w:hAnsi="Arial" w:cs="Arial"/>
                <w:noProof/>
              </w:rPr>
              <w:t>6</w:t>
            </w:r>
            <w:r w:rsidR="00756A55">
              <w:rPr>
                <w:rFonts w:asciiTheme="minorHAnsi" w:eastAsiaTheme="minorEastAsia" w:hAnsiTheme="minorHAnsi" w:cstheme="minorBidi"/>
                <w:noProof/>
                <w:lang w:val="en-US" w:eastAsia="en-US" w:bidi="ar-SA"/>
              </w:rPr>
              <w:tab/>
            </w:r>
            <w:r w:rsidR="00756A55" w:rsidRPr="009152C0">
              <w:rPr>
                <w:rStyle w:val="Hyperlink"/>
                <w:rFonts w:ascii="Arial" w:hAnsi="Arial" w:cs="Arial"/>
                <w:noProof/>
              </w:rPr>
              <w:t>Government Debt</w:t>
            </w:r>
            <w:r w:rsidR="00756A55">
              <w:rPr>
                <w:noProof/>
                <w:webHidden/>
              </w:rPr>
              <w:tab/>
            </w:r>
            <w:r w:rsidR="00756A55">
              <w:rPr>
                <w:noProof/>
                <w:webHidden/>
              </w:rPr>
              <w:fldChar w:fldCharType="begin"/>
            </w:r>
            <w:r w:rsidR="00756A55">
              <w:rPr>
                <w:noProof/>
                <w:webHidden/>
              </w:rPr>
              <w:instrText xml:space="preserve"> PAGEREF _Toc70943219 \h </w:instrText>
            </w:r>
            <w:r w:rsidR="00756A55">
              <w:rPr>
                <w:noProof/>
                <w:webHidden/>
              </w:rPr>
            </w:r>
            <w:r w:rsidR="00756A55">
              <w:rPr>
                <w:noProof/>
                <w:webHidden/>
              </w:rPr>
              <w:fldChar w:fldCharType="separate"/>
            </w:r>
            <w:r w:rsidR="008762B4">
              <w:rPr>
                <w:noProof/>
                <w:webHidden/>
              </w:rPr>
              <w:t>4</w:t>
            </w:r>
            <w:r w:rsidR="00756A55">
              <w:rPr>
                <w:noProof/>
                <w:webHidden/>
              </w:rPr>
              <w:fldChar w:fldCharType="end"/>
            </w:r>
          </w:hyperlink>
        </w:p>
        <w:p w14:paraId="2AED8422" w14:textId="12BFBD98" w:rsidR="00756A55" w:rsidRDefault="009E2EC1">
          <w:pPr>
            <w:pStyle w:val="TOC1"/>
            <w:tabs>
              <w:tab w:val="left" w:pos="440"/>
              <w:tab w:val="right" w:leader="dot" w:pos="9016"/>
            </w:tabs>
            <w:rPr>
              <w:rFonts w:asciiTheme="minorHAnsi" w:eastAsiaTheme="minorEastAsia" w:hAnsiTheme="minorHAnsi" w:cstheme="minorBidi"/>
              <w:noProof/>
              <w:lang w:val="en-US" w:eastAsia="en-US" w:bidi="ar-SA"/>
            </w:rPr>
          </w:pPr>
          <w:hyperlink w:anchor="_Toc70943220" w:history="1">
            <w:r w:rsidR="00756A55" w:rsidRPr="009152C0">
              <w:rPr>
                <w:rStyle w:val="Hyperlink"/>
                <w:rFonts w:ascii="Arial" w:hAnsi="Arial" w:cs="Arial"/>
                <w:noProof/>
              </w:rPr>
              <w:t>7</w:t>
            </w:r>
            <w:r w:rsidR="00756A55">
              <w:rPr>
                <w:rFonts w:asciiTheme="minorHAnsi" w:eastAsiaTheme="minorEastAsia" w:hAnsiTheme="minorHAnsi" w:cstheme="minorBidi"/>
                <w:noProof/>
                <w:lang w:val="en-US" w:eastAsia="en-US" w:bidi="ar-SA"/>
              </w:rPr>
              <w:tab/>
            </w:r>
            <w:r w:rsidR="00756A55" w:rsidRPr="009152C0">
              <w:rPr>
                <w:rStyle w:val="Hyperlink"/>
                <w:rFonts w:ascii="Arial" w:hAnsi="Arial" w:cs="Arial"/>
                <w:noProof/>
              </w:rPr>
              <w:t>External Current Account Including Grant</w:t>
            </w:r>
            <w:r w:rsidR="00756A55">
              <w:rPr>
                <w:noProof/>
                <w:webHidden/>
              </w:rPr>
              <w:tab/>
            </w:r>
            <w:r w:rsidR="00756A55">
              <w:rPr>
                <w:noProof/>
                <w:webHidden/>
              </w:rPr>
              <w:fldChar w:fldCharType="begin"/>
            </w:r>
            <w:r w:rsidR="00756A55">
              <w:rPr>
                <w:noProof/>
                <w:webHidden/>
              </w:rPr>
              <w:instrText xml:space="preserve"> PAGEREF _Toc70943220 \h </w:instrText>
            </w:r>
            <w:r w:rsidR="00756A55">
              <w:rPr>
                <w:noProof/>
                <w:webHidden/>
              </w:rPr>
            </w:r>
            <w:r w:rsidR="00756A55">
              <w:rPr>
                <w:noProof/>
                <w:webHidden/>
              </w:rPr>
              <w:fldChar w:fldCharType="separate"/>
            </w:r>
            <w:r w:rsidR="008762B4">
              <w:rPr>
                <w:noProof/>
                <w:webHidden/>
              </w:rPr>
              <w:t>5</w:t>
            </w:r>
            <w:r w:rsidR="00756A55">
              <w:rPr>
                <w:noProof/>
                <w:webHidden/>
              </w:rPr>
              <w:fldChar w:fldCharType="end"/>
            </w:r>
          </w:hyperlink>
        </w:p>
        <w:p w14:paraId="74F2D16F" w14:textId="002C5307" w:rsidR="00756A55" w:rsidRDefault="009E2EC1">
          <w:pPr>
            <w:pStyle w:val="TOC1"/>
            <w:tabs>
              <w:tab w:val="left" w:pos="440"/>
              <w:tab w:val="right" w:leader="dot" w:pos="9016"/>
            </w:tabs>
            <w:rPr>
              <w:rFonts w:asciiTheme="minorHAnsi" w:eastAsiaTheme="minorEastAsia" w:hAnsiTheme="minorHAnsi" w:cstheme="minorBidi"/>
              <w:noProof/>
              <w:lang w:val="en-US" w:eastAsia="en-US" w:bidi="ar-SA"/>
            </w:rPr>
          </w:pPr>
          <w:hyperlink w:anchor="_Toc70943221" w:history="1">
            <w:r w:rsidR="00756A55" w:rsidRPr="009152C0">
              <w:rPr>
                <w:rStyle w:val="Hyperlink"/>
                <w:rFonts w:ascii="Arial" w:hAnsi="Arial" w:cs="Arial"/>
                <w:noProof/>
              </w:rPr>
              <w:t>8</w:t>
            </w:r>
            <w:r w:rsidR="00756A55">
              <w:rPr>
                <w:rFonts w:asciiTheme="minorHAnsi" w:eastAsiaTheme="minorEastAsia" w:hAnsiTheme="minorHAnsi" w:cstheme="minorBidi"/>
                <w:noProof/>
                <w:lang w:val="en-US" w:eastAsia="en-US" w:bidi="ar-SA"/>
              </w:rPr>
              <w:tab/>
            </w:r>
            <w:r w:rsidR="00756A55" w:rsidRPr="009152C0">
              <w:rPr>
                <w:rStyle w:val="Hyperlink"/>
                <w:rFonts w:ascii="Arial" w:hAnsi="Arial" w:cs="Arial"/>
                <w:noProof/>
              </w:rPr>
              <w:t>Reserve Accumulation</w:t>
            </w:r>
            <w:r w:rsidR="00756A55">
              <w:rPr>
                <w:noProof/>
                <w:webHidden/>
              </w:rPr>
              <w:tab/>
            </w:r>
            <w:r w:rsidR="00756A55">
              <w:rPr>
                <w:noProof/>
                <w:webHidden/>
              </w:rPr>
              <w:fldChar w:fldCharType="begin"/>
            </w:r>
            <w:r w:rsidR="00756A55">
              <w:rPr>
                <w:noProof/>
                <w:webHidden/>
              </w:rPr>
              <w:instrText xml:space="preserve"> PAGEREF _Toc70943221 \h </w:instrText>
            </w:r>
            <w:r w:rsidR="00756A55">
              <w:rPr>
                <w:noProof/>
                <w:webHidden/>
              </w:rPr>
            </w:r>
            <w:r w:rsidR="00756A55">
              <w:rPr>
                <w:noProof/>
                <w:webHidden/>
              </w:rPr>
              <w:fldChar w:fldCharType="separate"/>
            </w:r>
            <w:r w:rsidR="008762B4">
              <w:rPr>
                <w:noProof/>
                <w:webHidden/>
              </w:rPr>
              <w:t>6</w:t>
            </w:r>
            <w:r w:rsidR="00756A55">
              <w:rPr>
                <w:noProof/>
                <w:webHidden/>
              </w:rPr>
              <w:fldChar w:fldCharType="end"/>
            </w:r>
          </w:hyperlink>
        </w:p>
        <w:p w14:paraId="22597B4C" w14:textId="10787067" w:rsidR="00756A55" w:rsidRDefault="009E2EC1">
          <w:pPr>
            <w:pStyle w:val="TOC1"/>
            <w:tabs>
              <w:tab w:val="left" w:pos="440"/>
              <w:tab w:val="right" w:leader="dot" w:pos="9016"/>
            </w:tabs>
            <w:rPr>
              <w:rFonts w:asciiTheme="minorHAnsi" w:eastAsiaTheme="minorEastAsia" w:hAnsiTheme="minorHAnsi" w:cstheme="minorBidi"/>
              <w:noProof/>
              <w:lang w:val="en-US" w:eastAsia="en-US" w:bidi="ar-SA"/>
            </w:rPr>
          </w:pPr>
          <w:hyperlink w:anchor="_Toc70943222" w:history="1">
            <w:r w:rsidR="00756A55" w:rsidRPr="009152C0">
              <w:rPr>
                <w:rStyle w:val="Hyperlink"/>
                <w:rFonts w:ascii="Arial" w:hAnsi="Arial" w:cs="Arial"/>
                <w:noProof/>
              </w:rPr>
              <w:t>9</w:t>
            </w:r>
            <w:r w:rsidR="00756A55">
              <w:rPr>
                <w:rFonts w:asciiTheme="minorHAnsi" w:eastAsiaTheme="minorEastAsia" w:hAnsiTheme="minorHAnsi" w:cstheme="minorBidi"/>
                <w:noProof/>
                <w:lang w:val="en-US" w:eastAsia="en-US" w:bidi="ar-SA"/>
              </w:rPr>
              <w:tab/>
            </w:r>
            <w:r w:rsidR="00756A55" w:rsidRPr="009152C0">
              <w:rPr>
                <w:rStyle w:val="Hyperlink"/>
                <w:rFonts w:ascii="Arial" w:hAnsi="Arial" w:cs="Arial"/>
                <w:noProof/>
              </w:rPr>
              <w:t>Medium Term Prospects and Recommendations for Chance to Change</w:t>
            </w:r>
            <w:r w:rsidR="00756A55">
              <w:rPr>
                <w:noProof/>
                <w:webHidden/>
              </w:rPr>
              <w:tab/>
            </w:r>
            <w:r w:rsidR="00756A55">
              <w:rPr>
                <w:noProof/>
                <w:webHidden/>
              </w:rPr>
              <w:fldChar w:fldCharType="begin"/>
            </w:r>
            <w:r w:rsidR="00756A55">
              <w:rPr>
                <w:noProof/>
                <w:webHidden/>
              </w:rPr>
              <w:instrText xml:space="preserve"> PAGEREF _Toc70943222 \h </w:instrText>
            </w:r>
            <w:r w:rsidR="00756A55">
              <w:rPr>
                <w:noProof/>
                <w:webHidden/>
              </w:rPr>
            </w:r>
            <w:r w:rsidR="00756A55">
              <w:rPr>
                <w:noProof/>
                <w:webHidden/>
              </w:rPr>
              <w:fldChar w:fldCharType="separate"/>
            </w:r>
            <w:r w:rsidR="008762B4">
              <w:rPr>
                <w:noProof/>
                <w:webHidden/>
              </w:rPr>
              <w:t>7</w:t>
            </w:r>
            <w:r w:rsidR="00756A55">
              <w:rPr>
                <w:noProof/>
                <w:webHidden/>
              </w:rPr>
              <w:fldChar w:fldCharType="end"/>
            </w:r>
          </w:hyperlink>
        </w:p>
        <w:p w14:paraId="5DDBE2B5" w14:textId="0D01F3CB" w:rsidR="00756A55" w:rsidRDefault="009E2EC1">
          <w:pPr>
            <w:pStyle w:val="TOC1"/>
            <w:tabs>
              <w:tab w:val="left" w:pos="660"/>
              <w:tab w:val="right" w:leader="dot" w:pos="9016"/>
            </w:tabs>
            <w:rPr>
              <w:rFonts w:asciiTheme="minorHAnsi" w:eastAsiaTheme="minorEastAsia" w:hAnsiTheme="minorHAnsi" w:cstheme="minorBidi"/>
              <w:noProof/>
              <w:lang w:val="en-US" w:eastAsia="en-US" w:bidi="ar-SA"/>
            </w:rPr>
          </w:pPr>
          <w:hyperlink w:anchor="_Toc70943223" w:history="1">
            <w:r w:rsidR="00756A55" w:rsidRPr="009152C0">
              <w:rPr>
                <w:rStyle w:val="Hyperlink"/>
                <w:rFonts w:ascii="Arial" w:hAnsi="Arial" w:cs="Arial"/>
                <w:noProof/>
              </w:rPr>
              <w:t>10</w:t>
            </w:r>
            <w:r w:rsidR="00756A55">
              <w:rPr>
                <w:rFonts w:asciiTheme="minorHAnsi" w:eastAsiaTheme="minorEastAsia" w:hAnsiTheme="minorHAnsi" w:cstheme="minorBidi"/>
                <w:noProof/>
                <w:lang w:val="en-US" w:eastAsia="en-US" w:bidi="ar-SA"/>
              </w:rPr>
              <w:tab/>
            </w:r>
            <w:r w:rsidR="00756A55" w:rsidRPr="009152C0">
              <w:rPr>
                <w:rStyle w:val="Hyperlink"/>
                <w:rFonts w:ascii="Arial" w:hAnsi="Arial" w:cs="Arial"/>
                <w:noProof/>
              </w:rPr>
              <w:t>Risks to Outlook</w:t>
            </w:r>
            <w:r w:rsidR="00756A55">
              <w:rPr>
                <w:noProof/>
                <w:webHidden/>
              </w:rPr>
              <w:tab/>
            </w:r>
            <w:r w:rsidR="00756A55">
              <w:rPr>
                <w:noProof/>
                <w:webHidden/>
              </w:rPr>
              <w:fldChar w:fldCharType="begin"/>
            </w:r>
            <w:r w:rsidR="00756A55">
              <w:rPr>
                <w:noProof/>
                <w:webHidden/>
              </w:rPr>
              <w:instrText xml:space="preserve"> PAGEREF _Toc70943223 \h </w:instrText>
            </w:r>
            <w:r w:rsidR="00756A55">
              <w:rPr>
                <w:noProof/>
                <w:webHidden/>
              </w:rPr>
            </w:r>
            <w:r w:rsidR="00756A55">
              <w:rPr>
                <w:noProof/>
                <w:webHidden/>
              </w:rPr>
              <w:fldChar w:fldCharType="separate"/>
            </w:r>
            <w:r w:rsidR="008762B4">
              <w:rPr>
                <w:noProof/>
                <w:webHidden/>
              </w:rPr>
              <w:t>8</w:t>
            </w:r>
            <w:r w:rsidR="00756A55">
              <w:rPr>
                <w:noProof/>
                <w:webHidden/>
              </w:rPr>
              <w:fldChar w:fldCharType="end"/>
            </w:r>
          </w:hyperlink>
        </w:p>
        <w:p w14:paraId="57951A43" w14:textId="7CD48FA5" w:rsidR="00756A55" w:rsidRDefault="009E2EC1">
          <w:pPr>
            <w:pStyle w:val="TOC1"/>
            <w:tabs>
              <w:tab w:val="right" w:leader="dot" w:pos="9016"/>
            </w:tabs>
            <w:rPr>
              <w:rFonts w:asciiTheme="minorHAnsi" w:eastAsiaTheme="minorEastAsia" w:hAnsiTheme="minorHAnsi" w:cstheme="minorBidi"/>
              <w:noProof/>
              <w:lang w:val="en-US" w:eastAsia="en-US" w:bidi="ar-SA"/>
            </w:rPr>
          </w:pPr>
          <w:hyperlink w:anchor="_Toc70943224" w:history="1">
            <w:r w:rsidR="00756A55" w:rsidRPr="009152C0">
              <w:rPr>
                <w:rStyle w:val="Hyperlink"/>
                <w:rFonts w:ascii="Arial" w:hAnsi="Arial" w:cs="Arial"/>
                <w:noProof/>
              </w:rPr>
              <w:t>References</w:t>
            </w:r>
            <w:r w:rsidR="00756A55">
              <w:rPr>
                <w:noProof/>
                <w:webHidden/>
              </w:rPr>
              <w:tab/>
            </w:r>
            <w:r w:rsidR="00756A55">
              <w:rPr>
                <w:noProof/>
                <w:webHidden/>
              </w:rPr>
              <w:fldChar w:fldCharType="begin"/>
            </w:r>
            <w:r w:rsidR="00756A55">
              <w:rPr>
                <w:noProof/>
                <w:webHidden/>
              </w:rPr>
              <w:instrText xml:space="preserve"> PAGEREF _Toc70943224 \h </w:instrText>
            </w:r>
            <w:r w:rsidR="00756A55">
              <w:rPr>
                <w:noProof/>
                <w:webHidden/>
              </w:rPr>
            </w:r>
            <w:r w:rsidR="00756A55">
              <w:rPr>
                <w:noProof/>
                <w:webHidden/>
              </w:rPr>
              <w:fldChar w:fldCharType="separate"/>
            </w:r>
            <w:r w:rsidR="008762B4">
              <w:rPr>
                <w:noProof/>
                <w:webHidden/>
              </w:rPr>
              <w:t>8</w:t>
            </w:r>
            <w:r w:rsidR="00756A55">
              <w:rPr>
                <w:noProof/>
                <w:webHidden/>
              </w:rPr>
              <w:fldChar w:fldCharType="end"/>
            </w:r>
          </w:hyperlink>
        </w:p>
        <w:p w14:paraId="33999FCC" w14:textId="0E1D5462" w:rsidR="00A705E7" w:rsidRDefault="00A705E7">
          <w:r>
            <w:rPr>
              <w:b/>
              <w:bCs/>
              <w:noProof/>
            </w:rPr>
            <w:fldChar w:fldCharType="end"/>
          </w:r>
        </w:p>
      </w:sdtContent>
    </w:sdt>
    <w:p w14:paraId="142CF176" w14:textId="68BAD3E3" w:rsidR="00572F4C" w:rsidRDefault="00572F4C" w:rsidP="008C697D">
      <w:pPr>
        <w:pStyle w:val="ListParagraph"/>
        <w:ind w:left="360"/>
        <w:jc w:val="both"/>
        <w:rPr>
          <w:rFonts w:ascii="Garamond" w:hAnsi="Garamond" w:cs="Arial"/>
          <w:lang w:val="en-US"/>
        </w:rPr>
      </w:pPr>
    </w:p>
    <w:p w14:paraId="625F8F31" w14:textId="5D69E10F" w:rsidR="00572F4C" w:rsidRDefault="00572F4C" w:rsidP="008C697D">
      <w:pPr>
        <w:pStyle w:val="ListParagraph"/>
        <w:ind w:left="360"/>
        <w:jc w:val="both"/>
        <w:rPr>
          <w:rFonts w:ascii="Garamond" w:hAnsi="Garamond" w:cs="Arial"/>
          <w:lang w:val="en-US"/>
        </w:rPr>
      </w:pPr>
    </w:p>
    <w:p w14:paraId="41EBD3F7" w14:textId="41F9956A" w:rsidR="00572F4C" w:rsidRDefault="00572F4C" w:rsidP="008C697D">
      <w:pPr>
        <w:pStyle w:val="ListParagraph"/>
        <w:ind w:left="360"/>
        <w:jc w:val="both"/>
        <w:rPr>
          <w:rFonts w:ascii="Garamond" w:hAnsi="Garamond" w:cs="Arial"/>
          <w:lang w:val="en-US"/>
        </w:rPr>
      </w:pPr>
    </w:p>
    <w:p w14:paraId="7A614046" w14:textId="6455AD15" w:rsidR="00572F4C" w:rsidRDefault="00572F4C" w:rsidP="008C697D">
      <w:pPr>
        <w:pStyle w:val="ListParagraph"/>
        <w:ind w:left="360"/>
        <w:jc w:val="both"/>
        <w:rPr>
          <w:rFonts w:ascii="Garamond" w:hAnsi="Garamond" w:cs="Arial"/>
          <w:lang w:val="en-US"/>
        </w:rPr>
      </w:pPr>
    </w:p>
    <w:p w14:paraId="45DDE7D4" w14:textId="32B46C46" w:rsidR="00572F4C" w:rsidRDefault="00572F4C" w:rsidP="008C697D">
      <w:pPr>
        <w:pStyle w:val="ListParagraph"/>
        <w:ind w:left="360"/>
        <w:jc w:val="both"/>
        <w:rPr>
          <w:rFonts w:ascii="Garamond" w:hAnsi="Garamond" w:cs="Arial"/>
          <w:lang w:val="en-US"/>
        </w:rPr>
      </w:pPr>
    </w:p>
    <w:p w14:paraId="4EAA822F" w14:textId="507795CB" w:rsidR="00572F4C" w:rsidRDefault="00572F4C" w:rsidP="008C697D">
      <w:pPr>
        <w:pStyle w:val="ListParagraph"/>
        <w:ind w:left="360"/>
        <w:jc w:val="both"/>
        <w:rPr>
          <w:rFonts w:ascii="Garamond" w:hAnsi="Garamond" w:cs="Arial"/>
          <w:lang w:val="en-US"/>
        </w:rPr>
      </w:pPr>
    </w:p>
    <w:p w14:paraId="16BA5CC6" w14:textId="52F04F60" w:rsidR="00572F4C" w:rsidRDefault="00572F4C" w:rsidP="008C697D">
      <w:pPr>
        <w:pStyle w:val="ListParagraph"/>
        <w:ind w:left="360"/>
        <w:jc w:val="both"/>
        <w:rPr>
          <w:rFonts w:ascii="Garamond" w:hAnsi="Garamond" w:cs="Arial"/>
          <w:lang w:val="en-US"/>
        </w:rPr>
      </w:pPr>
    </w:p>
    <w:p w14:paraId="6821EC44" w14:textId="652B0B60" w:rsidR="00572F4C" w:rsidRDefault="00572F4C" w:rsidP="008C697D">
      <w:pPr>
        <w:pStyle w:val="ListParagraph"/>
        <w:ind w:left="360"/>
        <w:jc w:val="both"/>
        <w:rPr>
          <w:rFonts w:ascii="Garamond" w:hAnsi="Garamond" w:cs="Arial"/>
          <w:lang w:val="en-US"/>
        </w:rPr>
      </w:pPr>
    </w:p>
    <w:p w14:paraId="3F60612E" w14:textId="39185FE8" w:rsidR="00572F4C" w:rsidRDefault="00572F4C" w:rsidP="008C697D">
      <w:pPr>
        <w:pStyle w:val="ListParagraph"/>
        <w:ind w:left="360"/>
        <w:jc w:val="both"/>
        <w:rPr>
          <w:rFonts w:ascii="Garamond" w:hAnsi="Garamond" w:cs="Arial"/>
          <w:lang w:val="en-US"/>
        </w:rPr>
      </w:pPr>
    </w:p>
    <w:p w14:paraId="77242011" w14:textId="0C040BB2" w:rsidR="00572F4C" w:rsidRDefault="00572F4C" w:rsidP="008C697D">
      <w:pPr>
        <w:pStyle w:val="ListParagraph"/>
        <w:ind w:left="360"/>
        <w:jc w:val="both"/>
        <w:rPr>
          <w:rFonts w:ascii="Garamond" w:hAnsi="Garamond" w:cs="Arial"/>
          <w:lang w:val="en-US"/>
        </w:rPr>
      </w:pPr>
    </w:p>
    <w:p w14:paraId="12415EEB" w14:textId="68A94422" w:rsidR="00572F4C" w:rsidRDefault="00572F4C" w:rsidP="008C697D">
      <w:pPr>
        <w:pStyle w:val="ListParagraph"/>
        <w:ind w:left="360"/>
        <w:jc w:val="both"/>
        <w:rPr>
          <w:rFonts w:ascii="Garamond" w:hAnsi="Garamond" w:cs="Arial"/>
          <w:lang w:val="en-US"/>
        </w:rPr>
      </w:pPr>
    </w:p>
    <w:p w14:paraId="40A7CB6E" w14:textId="2EA8982E" w:rsidR="00572F4C" w:rsidRDefault="00572F4C" w:rsidP="008C697D">
      <w:pPr>
        <w:pStyle w:val="ListParagraph"/>
        <w:ind w:left="360"/>
        <w:jc w:val="both"/>
        <w:rPr>
          <w:rFonts w:ascii="Garamond" w:hAnsi="Garamond" w:cs="Arial"/>
          <w:lang w:val="en-US"/>
        </w:rPr>
      </w:pPr>
    </w:p>
    <w:p w14:paraId="14E2D61C" w14:textId="03ECBE7A" w:rsidR="00572F4C" w:rsidRDefault="00572F4C" w:rsidP="008C697D">
      <w:pPr>
        <w:pStyle w:val="ListParagraph"/>
        <w:ind w:left="360"/>
        <w:jc w:val="both"/>
        <w:rPr>
          <w:rFonts w:ascii="Garamond" w:hAnsi="Garamond" w:cs="Arial"/>
          <w:lang w:val="en-US"/>
        </w:rPr>
      </w:pPr>
    </w:p>
    <w:p w14:paraId="2C53F403" w14:textId="77C4BC96" w:rsidR="00572F4C" w:rsidRDefault="00572F4C">
      <w:pPr>
        <w:spacing w:after="0" w:line="240" w:lineRule="auto"/>
        <w:rPr>
          <w:rFonts w:ascii="Garamond" w:hAnsi="Garamond" w:cs="Arial"/>
          <w:lang w:val="en-US"/>
        </w:rPr>
      </w:pPr>
      <w:r>
        <w:rPr>
          <w:rFonts w:ascii="Garamond" w:hAnsi="Garamond" w:cs="Arial"/>
          <w:lang w:val="en-US"/>
        </w:rPr>
        <w:br w:type="page"/>
      </w:r>
    </w:p>
    <w:p w14:paraId="6F0F14B8" w14:textId="59C7749C" w:rsidR="00A14108" w:rsidRPr="005142A8" w:rsidRDefault="00A14108" w:rsidP="00D25303">
      <w:pPr>
        <w:pStyle w:val="Heading1"/>
        <w:numPr>
          <w:ilvl w:val="0"/>
          <w:numId w:val="11"/>
        </w:numPr>
        <w:spacing w:before="0" w:after="120" w:line="276" w:lineRule="auto"/>
        <w:rPr>
          <w:rFonts w:ascii="Arial" w:hAnsi="Arial" w:cs="Arial"/>
          <w:sz w:val="22"/>
          <w:szCs w:val="22"/>
        </w:rPr>
      </w:pPr>
      <w:bookmarkStart w:id="8" w:name="_Toc70943214"/>
      <w:r w:rsidRPr="005142A8">
        <w:rPr>
          <w:rFonts w:ascii="Arial" w:hAnsi="Arial" w:cs="Arial"/>
          <w:sz w:val="22"/>
          <w:szCs w:val="22"/>
        </w:rPr>
        <w:lastRenderedPageBreak/>
        <w:t>Background</w:t>
      </w:r>
      <w:bookmarkEnd w:id="8"/>
    </w:p>
    <w:p w14:paraId="63A4AC72" w14:textId="70F23C27" w:rsidR="00D16B5B" w:rsidRDefault="00D16B5B" w:rsidP="00D25303">
      <w:pPr>
        <w:spacing w:after="120"/>
        <w:jc w:val="both"/>
        <w:rPr>
          <w:rFonts w:ascii="Arial" w:hAnsi="Arial" w:cs="Arial"/>
          <w:lang w:val="en-US"/>
        </w:rPr>
      </w:pPr>
      <w:r w:rsidRPr="005142A8">
        <w:rPr>
          <w:rFonts w:ascii="Arial" w:hAnsi="Arial" w:cs="Arial"/>
          <w:lang w:val="en-US"/>
        </w:rPr>
        <w:t xml:space="preserve">This report presents macroeconomic developments in the COMESA region </w:t>
      </w:r>
      <w:r w:rsidR="007B1F7D">
        <w:rPr>
          <w:rFonts w:ascii="Arial" w:hAnsi="Arial" w:cs="Arial"/>
          <w:lang w:val="en-US"/>
        </w:rPr>
        <w:t>in</w:t>
      </w:r>
      <w:r w:rsidR="004B7018">
        <w:rPr>
          <w:rFonts w:ascii="Arial" w:hAnsi="Arial" w:cs="Arial"/>
          <w:bCs/>
          <w:lang w:val="en-US"/>
        </w:rPr>
        <w:t xml:space="preserve"> </w:t>
      </w:r>
      <w:r w:rsidRPr="005142A8">
        <w:rPr>
          <w:rFonts w:ascii="Arial" w:hAnsi="Arial" w:cs="Arial"/>
          <w:lang w:val="en-US"/>
        </w:rPr>
        <w:t>202</w:t>
      </w:r>
      <w:r w:rsidR="00CC62E1">
        <w:rPr>
          <w:rFonts w:ascii="Arial" w:hAnsi="Arial" w:cs="Arial"/>
          <w:lang w:val="en-US"/>
        </w:rPr>
        <w:t>2</w:t>
      </w:r>
      <w:r w:rsidR="00803497">
        <w:rPr>
          <w:rFonts w:ascii="Arial" w:hAnsi="Arial" w:cs="Arial"/>
          <w:lang w:val="en-US"/>
        </w:rPr>
        <w:t xml:space="preserve">. </w:t>
      </w:r>
      <w:r w:rsidRPr="005142A8">
        <w:rPr>
          <w:rFonts w:ascii="Arial" w:hAnsi="Arial" w:cs="Arial"/>
          <w:lang w:val="en-US"/>
        </w:rPr>
        <w:t>It analyses developments in key macro-economic performance indicators in the region</w:t>
      </w:r>
      <w:r w:rsidR="00453492">
        <w:rPr>
          <w:rFonts w:ascii="Arial" w:hAnsi="Arial" w:cs="Arial"/>
          <w:lang w:val="en-US"/>
        </w:rPr>
        <w:t xml:space="preserve">, </w:t>
      </w:r>
      <w:r w:rsidRPr="005142A8">
        <w:rPr>
          <w:rFonts w:ascii="Arial" w:hAnsi="Arial" w:cs="Arial"/>
          <w:lang w:val="en-US"/>
        </w:rPr>
        <w:t xml:space="preserve">assesses the </w:t>
      </w:r>
      <w:r w:rsidR="007B1F7D" w:rsidRPr="005142A8">
        <w:rPr>
          <w:rFonts w:ascii="Arial" w:hAnsi="Arial" w:cs="Arial"/>
          <w:lang w:val="en-US"/>
        </w:rPr>
        <w:t>medium-term</w:t>
      </w:r>
      <w:r w:rsidRPr="005142A8">
        <w:rPr>
          <w:rFonts w:ascii="Arial" w:hAnsi="Arial" w:cs="Arial"/>
          <w:lang w:val="en-US"/>
        </w:rPr>
        <w:t xml:space="preserve"> prospects</w:t>
      </w:r>
      <w:r w:rsidR="00453492">
        <w:rPr>
          <w:rFonts w:ascii="Arial" w:hAnsi="Arial" w:cs="Arial"/>
          <w:lang w:val="en-US"/>
        </w:rPr>
        <w:t xml:space="preserve"> </w:t>
      </w:r>
      <w:r w:rsidR="00453492" w:rsidRPr="005142A8">
        <w:rPr>
          <w:rFonts w:ascii="Arial" w:hAnsi="Arial" w:cs="Arial"/>
          <w:lang w:val="en-US"/>
        </w:rPr>
        <w:t xml:space="preserve">and provides policy recommendations in the short-to-medium term </w:t>
      </w:r>
      <w:r w:rsidR="00A1707D">
        <w:rPr>
          <w:rFonts w:ascii="Arial" w:hAnsi="Arial" w:cs="Arial"/>
          <w:lang w:val="en-US"/>
        </w:rPr>
        <w:t xml:space="preserve">and </w:t>
      </w:r>
      <w:r w:rsidR="00A14108" w:rsidRPr="005142A8">
        <w:rPr>
          <w:rFonts w:ascii="Arial" w:hAnsi="Arial" w:cs="Arial"/>
          <w:lang w:val="en-US"/>
        </w:rPr>
        <w:t>discusses the risks to the outlook</w:t>
      </w:r>
      <w:r w:rsidR="00453492">
        <w:rPr>
          <w:rFonts w:ascii="Arial" w:hAnsi="Arial" w:cs="Arial"/>
          <w:lang w:val="en-US"/>
        </w:rPr>
        <w:t>.</w:t>
      </w:r>
      <w:r w:rsidR="00A14108" w:rsidRPr="005142A8">
        <w:rPr>
          <w:rFonts w:ascii="Arial" w:hAnsi="Arial" w:cs="Arial"/>
          <w:lang w:val="en-US"/>
        </w:rPr>
        <w:t xml:space="preserve"> </w:t>
      </w:r>
    </w:p>
    <w:p w14:paraId="10E93135" w14:textId="77777777" w:rsidR="00803497" w:rsidRDefault="00803497" w:rsidP="00D25303">
      <w:pPr>
        <w:spacing w:after="120"/>
        <w:jc w:val="both"/>
        <w:rPr>
          <w:rFonts w:ascii="Arial" w:hAnsi="Arial" w:cs="Arial"/>
          <w:lang w:val="en-US"/>
        </w:rPr>
      </w:pPr>
    </w:p>
    <w:p w14:paraId="70CCB6AB" w14:textId="6F3B2B46" w:rsidR="00A37D3B" w:rsidRDefault="00B14CAE" w:rsidP="00D25303">
      <w:pPr>
        <w:pStyle w:val="Heading1"/>
        <w:numPr>
          <w:ilvl w:val="0"/>
          <w:numId w:val="10"/>
        </w:numPr>
        <w:spacing w:before="0" w:after="120" w:line="276" w:lineRule="auto"/>
        <w:rPr>
          <w:rFonts w:ascii="Arial" w:hAnsi="Arial" w:cs="Arial"/>
          <w:sz w:val="22"/>
          <w:szCs w:val="22"/>
        </w:rPr>
      </w:pPr>
      <w:bookmarkStart w:id="9" w:name="_Toc505769853"/>
      <w:bookmarkStart w:id="10" w:name="_Toc70943215"/>
      <w:r w:rsidRPr="00B6509D">
        <w:rPr>
          <w:rFonts w:ascii="Arial" w:hAnsi="Arial" w:cs="Arial"/>
          <w:sz w:val="22"/>
          <w:szCs w:val="22"/>
        </w:rPr>
        <w:t>Growth</w:t>
      </w:r>
      <w:bookmarkEnd w:id="9"/>
      <w:bookmarkEnd w:id="10"/>
    </w:p>
    <w:p w14:paraId="0E438762" w14:textId="306A6B14" w:rsidR="00BB4688" w:rsidRDefault="002B20D3" w:rsidP="00D25303">
      <w:pPr>
        <w:spacing w:after="120"/>
        <w:jc w:val="both"/>
        <w:rPr>
          <w:rFonts w:ascii="Arial" w:hAnsi="Arial" w:cs="Arial"/>
          <w:lang w:val="en-US"/>
        </w:rPr>
      </w:pPr>
      <w:r w:rsidRPr="005142A8">
        <w:rPr>
          <w:rFonts w:ascii="Arial" w:hAnsi="Arial" w:cs="Arial"/>
          <w:lang w:val="en-US"/>
        </w:rPr>
        <w:t xml:space="preserve">COMESA region’s average growth </w:t>
      </w:r>
      <w:r w:rsidR="0071303C">
        <w:rPr>
          <w:rFonts w:ascii="Arial" w:hAnsi="Arial" w:cs="Arial"/>
          <w:lang w:val="en-US"/>
        </w:rPr>
        <w:t>declined to 5.4</w:t>
      </w:r>
      <w:r w:rsidR="00C24A8B" w:rsidRPr="005142A8">
        <w:rPr>
          <w:rFonts w:ascii="Arial" w:hAnsi="Arial" w:cs="Arial"/>
          <w:lang w:val="en-US"/>
        </w:rPr>
        <w:t xml:space="preserve">% </w:t>
      </w:r>
      <w:r w:rsidR="0071303C">
        <w:rPr>
          <w:rFonts w:ascii="Arial" w:hAnsi="Arial" w:cs="Arial"/>
          <w:lang w:val="en-US"/>
        </w:rPr>
        <w:t>in 2022 from 6.5</w:t>
      </w:r>
      <w:r w:rsidR="00503E79">
        <w:rPr>
          <w:rFonts w:ascii="Arial" w:hAnsi="Arial" w:cs="Arial"/>
          <w:lang w:val="en-US"/>
        </w:rPr>
        <w:t xml:space="preserve">% in 2021. </w:t>
      </w:r>
      <w:r w:rsidR="0071303C">
        <w:rPr>
          <w:rFonts w:ascii="Arial" w:hAnsi="Arial" w:cs="Arial"/>
          <w:lang w:val="en-US"/>
        </w:rPr>
        <w:t xml:space="preserve">On average, economic activity </w:t>
      </w:r>
      <w:r w:rsidR="00061401">
        <w:rPr>
          <w:rFonts w:ascii="Arial" w:hAnsi="Arial" w:cs="Arial"/>
          <w:lang w:val="en-US"/>
        </w:rPr>
        <w:t xml:space="preserve">contracted </w:t>
      </w:r>
      <w:r w:rsidR="0071303C">
        <w:rPr>
          <w:rFonts w:ascii="Arial" w:hAnsi="Arial" w:cs="Arial"/>
          <w:lang w:val="en-US"/>
        </w:rPr>
        <w:t xml:space="preserve">in most </w:t>
      </w:r>
      <w:r w:rsidR="0011612F">
        <w:rPr>
          <w:rFonts w:ascii="Arial" w:hAnsi="Arial" w:cs="Arial"/>
          <w:lang w:val="en-US"/>
        </w:rPr>
        <w:t>C</w:t>
      </w:r>
      <w:r w:rsidR="00591847" w:rsidRPr="005142A8">
        <w:rPr>
          <w:rFonts w:ascii="Arial" w:hAnsi="Arial" w:cs="Arial"/>
          <w:lang w:val="en-US"/>
        </w:rPr>
        <w:t>OMESA member countries</w:t>
      </w:r>
      <w:r w:rsidR="0071303C">
        <w:rPr>
          <w:rFonts w:ascii="Arial" w:hAnsi="Arial" w:cs="Arial"/>
          <w:lang w:val="en-US"/>
        </w:rPr>
        <w:t xml:space="preserve"> </w:t>
      </w:r>
      <w:r w:rsidR="00B10B5D" w:rsidRPr="005142A8">
        <w:rPr>
          <w:rFonts w:ascii="Arial" w:hAnsi="Arial" w:cs="Arial"/>
          <w:lang w:val="en-US"/>
        </w:rPr>
        <w:t>(</w:t>
      </w:r>
      <w:r w:rsidR="000F2D97" w:rsidRPr="000F2D97">
        <w:rPr>
          <w:rFonts w:ascii="Arial" w:hAnsi="Arial" w:cs="Arial"/>
          <w:b/>
          <w:bCs/>
          <w:lang w:val="en-US"/>
        </w:rPr>
        <w:t xml:space="preserve">Figure </w:t>
      </w:r>
      <w:r w:rsidR="00B10B5D" w:rsidRPr="000F2D97">
        <w:rPr>
          <w:rFonts w:ascii="Arial" w:hAnsi="Arial" w:cs="Arial"/>
          <w:b/>
          <w:bCs/>
          <w:lang w:val="en-US"/>
        </w:rPr>
        <w:t>1</w:t>
      </w:r>
      <w:r w:rsidR="00B10B5D" w:rsidRPr="005142A8">
        <w:rPr>
          <w:rFonts w:ascii="Arial" w:hAnsi="Arial" w:cs="Arial"/>
          <w:lang w:val="en-US"/>
        </w:rPr>
        <w:t>)</w:t>
      </w:r>
      <w:r w:rsidR="00FE17BC">
        <w:rPr>
          <w:rFonts w:ascii="Arial" w:hAnsi="Arial" w:cs="Arial"/>
          <w:lang w:val="en-US"/>
        </w:rPr>
        <w:t xml:space="preserve">, </w:t>
      </w:r>
      <w:r w:rsidR="0071303C">
        <w:rPr>
          <w:rFonts w:ascii="Arial" w:hAnsi="Arial" w:cs="Arial"/>
          <w:lang w:val="en-US"/>
        </w:rPr>
        <w:t>on confluence of several factors</w:t>
      </w:r>
      <w:r w:rsidR="00061401">
        <w:rPr>
          <w:rFonts w:ascii="Arial" w:hAnsi="Arial" w:cs="Arial"/>
          <w:lang w:val="en-US"/>
        </w:rPr>
        <w:t xml:space="preserve">, including </w:t>
      </w:r>
      <w:r w:rsidR="003440BA">
        <w:rPr>
          <w:rFonts w:ascii="Arial" w:hAnsi="Arial" w:cs="Arial"/>
          <w:lang w:val="en-US"/>
        </w:rPr>
        <w:t xml:space="preserve">elevated economic imbalance in the wake of the </w:t>
      </w:r>
      <w:r w:rsidR="00061401">
        <w:rPr>
          <w:rFonts w:ascii="Arial" w:hAnsi="Arial" w:cs="Arial"/>
          <w:lang w:val="en-US"/>
        </w:rPr>
        <w:t xml:space="preserve">COVID-19 pandemic, </w:t>
      </w:r>
      <w:r w:rsidR="00171AE9">
        <w:rPr>
          <w:rFonts w:ascii="Arial" w:hAnsi="Arial" w:cs="Arial"/>
          <w:lang w:val="en-US"/>
        </w:rPr>
        <w:t>a drastic and pro-cyclical tightening of g</w:t>
      </w:r>
      <w:r w:rsidR="00061401">
        <w:rPr>
          <w:rFonts w:ascii="Arial" w:hAnsi="Arial" w:cs="Arial"/>
          <w:lang w:val="en-US"/>
        </w:rPr>
        <w:t xml:space="preserve">lobal financial conditions on account of the </w:t>
      </w:r>
      <w:r w:rsidR="00E45D7E">
        <w:rPr>
          <w:rFonts w:ascii="Arial" w:hAnsi="Arial" w:cs="Arial"/>
          <w:lang w:val="en-US"/>
        </w:rPr>
        <w:t xml:space="preserve">protracted </w:t>
      </w:r>
      <w:r w:rsidR="00061401">
        <w:rPr>
          <w:rFonts w:ascii="Arial" w:hAnsi="Arial" w:cs="Arial"/>
          <w:lang w:val="en-US"/>
        </w:rPr>
        <w:t>Russia-Ukraine war</w:t>
      </w:r>
      <w:r w:rsidR="00B14981">
        <w:rPr>
          <w:rFonts w:ascii="Arial" w:hAnsi="Arial" w:cs="Arial"/>
          <w:lang w:val="en-US"/>
        </w:rPr>
        <w:t xml:space="preserve">. The tight financial conditions </w:t>
      </w:r>
      <w:r w:rsidR="00845B70">
        <w:rPr>
          <w:rFonts w:ascii="Arial" w:hAnsi="Arial" w:cs="Arial"/>
          <w:lang w:val="en-US"/>
        </w:rPr>
        <w:t>have led</w:t>
      </w:r>
      <w:r w:rsidR="001B5B0B">
        <w:rPr>
          <w:rFonts w:ascii="Arial" w:hAnsi="Arial" w:cs="Arial"/>
          <w:lang w:val="en-US"/>
        </w:rPr>
        <w:t xml:space="preserve"> to higher global interest rate spreads </w:t>
      </w:r>
      <w:r w:rsidR="009F261D">
        <w:rPr>
          <w:rFonts w:ascii="Arial" w:hAnsi="Arial" w:cs="Arial"/>
          <w:lang w:val="en-US"/>
        </w:rPr>
        <w:t>and exacerbated exchange rate depreciations</w:t>
      </w:r>
      <w:r w:rsidR="009F261D" w:rsidRPr="002C20DD">
        <w:rPr>
          <w:rFonts w:ascii="Arial" w:hAnsi="Arial" w:cs="Arial"/>
          <w:lang w:val="en-US"/>
        </w:rPr>
        <w:t xml:space="preserve"> </w:t>
      </w:r>
      <w:bookmarkStart w:id="11" w:name="_Hlk139977692"/>
      <w:r w:rsidR="003218D9" w:rsidRPr="002C20DD">
        <w:rPr>
          <w:rFonts w:ascii="Arial" w:hAnsi="Arial" w:cs="Arial"/>
          <w:lang w:val="en-US"/>
        </w:rPr>
        <w:t>—</w:t>
      </w:r>
      <w:bookmarkEnd w:id="11"/>
      <w:r w:rsidR="003218D9">
        <w:rPr>
          <w:rFonts w:ascii="Arial" w:hAnsi="Arial" w:cs="Arial"/>
          <w:lang w:val="en-US"/>
        </w:rPr>
        <w:t xml:space="preserve"> </w:t>
      </w:r>
      <w:r w:rsidR="001B5B0B">
        <w:rPr>
          <w:rFonts w:ascii="Arial" w:hAnsi="Arial" w:cs="Arial"/>
          <w:lang w:val="en-US"/>
        </w:rPr>
        <w:t xml:space="preserve">raising </w:t>
      </w:r>
      <w:r w:rsidR="00171AE9">
        <w:rPr>
          <w:rFonts w:ascii="Arial" w:hAnsi="Arial" w:cs="Arial"/>
          <w:lang w:val="en-US"/>
        </w:rPr>
        <w:t xml:space="preserve">dollar-denominated </w:t>
      </w:r>
      <w:r w:rsidR="001B5B0B">
        <w:rPr>
          <w:rFonts w:ascii="Arial" w:hAnsi="Arial" w:cs="Arial"/>
          <w:lang w:val="en-US"/>
        </w:rPr>
        <w:t>borrowing and debt servicing costs</w:t>
      </w:r>
      <w:r w:rsidR="005D2B84">
        <w:rPr>
          <w:rFonts w:ascii="Arial" w:hAnsi="Arial" w:cs="Arial"/>
          <w:lang w:val="en-US"/>
        </w:rPr>
        <w:t>. The economic situation is further complicated by persistent</w:t>
      </w:r>
      <w:r w:rsidR="00C12D84">
        <w:rPr>
          <w:rFonts w:ascii="Arial" w:hAnsi="Arial" w:cs="Arial"/>
          <w:lang w:val="en-US"/>
        </w:rPr>
        <w:t>ly increasing</w:t>
      </w:r>
      <w:r w:rsidR="005D2B84">
        <w:rPr>
          <w:rFonts w:ascii="Arial" w:hAnsi="Arial" w:cs="Arial"/>
          <w:lang w:val="en-US"/>
        </w:rPr>
        <w:t xml:space="preserve"> global inflation leading to </w:t>
      </w:r>
      <w:proofErr w:type="gramStart"/>
      <w:r w:rsidR="005D2B84">
        <w:rPr>
          <w:rFonts w:ascii="Arial" w:hAnsi="Arial" w:cs="Arial"/>
          <w:lang w:val="en-US"/>
        </w:rPr>
        <w:t xml:space="preserve">a </w:t>
      </w:r>
      <w:r w:rsidR="00061401">
        <w:rPr>
          <w:rFonts w:ascii="Arial" w:hAnsi="Arial" w:cs="Arial"/>
          <w:lang w:val="en-US"/>
        </w:rPr>
        <w:t xml:space="preserve"> cost</w:t>
      </w:r>
      <w:proofErr w:type="gramEnd"/>
      <w:r w:rsidR="00061401">
        <w:rPr>
          <w:rFonts w:ascii="Arial" w:hAnsi="Arial" w:cs="Arial"/>
          <w:lang w:val="en-US"/>
        </w:rPr>
        <w:t>-of-living crisis</w:t>
      </w:r>
      <w:r w:rsidR="003218D9">
        <w:rPr>
          <w:rFonts w:ascii="Arial" w:hAnsi="Arial" w:cs="Arial"/>
          <w:lang w:val="en-US"/>
        </w:rPr>
        <w:t xml:space="preserve"> (high prices of food, fuel and fertilizer)</w:t>
      </w:r>
      <w:r w:rsidR="00061401">
        <w:rPr>
          <w:rFonts w:ascii="Arial" w:hAnsi="Arial" w:cs="Arial"/>
          <w:lang w:val="en-US"/>
        </w:rPr>
        <w:t xml:space="preserve">. </w:t>
      </w:r>
    </w:p>
    <w:p w14:paraId="5BE08C5C" w14:textId="77777777" w:rsidR="00A03A60" w:rsidRDefault="00A03A60" w:rsidP="00D95C78">
      <w:pPr>
        <w:spacing w:after="0" w:line="240" w:lineRule="auto"/>
        <w:jc w:val="both"/>
        <w:rPr>
          <w:rFonts w:ascii="Arial" w:hAnsi="Arial" w:cs="Arial"/>
          <w:lang w:val="en-US"/>
        </w:rPr>
      </w:pPr>
    </w:p>
    <w:p w14:paraId="0A50684B" w14:textId="50758CBF" w:rsidR="005142A8" w:rsidRDefault="00817708" w:rsidP="00D95C78">
      <w:pPr>
        <w:spacing w:after="0" w:line="240" w:lineRule="auto"/>
        <w:jc w:val="both"/>
        <w:rPr>
          <w:rFonts w:ascii="Arial" w:hAnsi="Arial" w:cs="Arial"/>
          <w:lang w:val="en-US"/>
        </w:rPr>
      </w:pPr>
      <w:r w:rsidRPr="00817708">
        <w:rPr>
          <w:rFonts w:ascii="Arial" w:hAnsi="Arial" w:cs="Arial"/>
          <w:lang w:val="en-US"/>
        </w:rPr>
        <w:t xml:space="preserve">Figure </w:t>
      </w:r>
      <w:r w:rsidRPr="00817708">
        <w:rPr>
          <w:rFonts w:ascii="Arial" w:hAnsi="Arial" w:cs="Arial"/>
          <w:i/>
          <w:iCs/>
          <w:lang w:val="en-US"/>
        </w:rPr>
        <w:fldChar w:fldCharType="begin"/>
      </w:r>
      <w:r w:rsidRPr="00817708">
        <w:rPr>
          <w:rFonts w:ascii="Arial" w:hAnsi="Arial" w:cs="Arial"/>
          <w:lang w:val="en-US"/>
        </w:rPr>
        <w:instrText xml:space="preserve"> SEQ Figure \* ARABIC </w:instrText>
      </w:r>
      <w:r w:rsidRPr="00817708">
        <w:rPr>
          <w:rFonts w:ascii="Arial" w:hAnsi="Arial" w:cs="Arial"/>
          <w:i/>
          <w:iCs/>
          <w:lang w:val="en-US"/>
        </w:rPr>
        <w:fldChar w:fldCharType="separate"/>
      </w:r>
      <w:r w:rsidR="00C67278">
        <w:rPr>
          <w:rFonts w:ascii="Arial" w:hAnsi="Arial" w:cs="Arial"/>
          <w:noProof/>
          <w:lang w:val="en-US"/>
        </w:rPr>
        <w:t>1</w:t>
      </w:r>
      <w:r w:rsidRPr="00817708">
        <w:rPr>
          <w:rFonts w:ascii="Arial" w:hAnsi="Arial" w:cs="Arial"/>
          <w:i/>
          <w:iCs/>
          <w:lang w:val="en-US"/>
        </w:rPr>
        <w:fldChar w:fldCharType="end"/>
      </w:r>
      <w:r w:rsidRPr="00817708">
        <w:rPr>
          <w:rFonts w:ascii="Arial" w:hAnsi="Arial" w:cs="Arial"/>
          <w:lang w:val="en-US"/>
        </w:rPr>
        <w:t xml:space="preserve">: COMESA </w:t>
      </w:r>
      <w:r>
        <w:rPr>
          <w:rFonts w:ascii="Arial" w:hAnsi="Arial" w:cs="Arial"/>
          <w:lang w:val="en-US"/>
        </w:rPr>
        <w:t xml:space="preserve">average real </w:t>
      </w:r>
      <w:r w:rsidRPr="00817708">
        <w:rPr>
          <w:rFonts w:ascii="Arial" w:hAnsi="Arial" w:cs="Arial"/>
          <w:lang w:val="en-US"/>
        </w:rPr>
        <w:t>GDP Growth (</w:t>
      </w:r>
      <w:r>
        <w:rPr>
          <w:rFonts w:ascii="Arial" w:hAnsi="Arial" w:cs="Arial"/>
          <w:lang w:val="en-US"/>
        </w:rPr>
        <w:t>y-o-y % change</w:t>
      </w:r>
      <w:r w:rsidRPr="00817708">
        <w:rPr>
          <w:rFonts w:ascii="Arial" w:hAnsi="Arial" w:cs="Arial"/>
          <w:lang w:val="en-US"/>
        </w:rPr>
        <w:t>)</w:t>
      </w:r>
      <w:r w:rsidR="00B14CAE" w:rsidRPr="00817708">
        <w:rPr>
          <w:rFonts w:ascii="Arial" w:hAnsi="Arial" w:cs="Arial"/>
          <w:lang w:val="en-US"/>
        </w:rPr>
        <w:t xml:space="preserve"> </w:t>
      </w:r>
    </w:p>
    <w:p w14:paraId="7E2AD08C" w14:textId="77777777" w:rsidR="00C12D84" w:rsidRDefault="00C12D84" w:rsidP="00C12D84">
      <w:pPr>
        <w:spacing w:after="0" w:line="240" w:lineRule="auto"/>
        <w:rPr>
          <w:noProof/>
        </w:rPr>
      </w:pPr>
      <w:r>
        <w:rPr>
          <w:noProof/>
        </w:rPr>
        <w:drawing>
          <wp:inline distT="0" distB="0" distL="0" distR="0" wp14:anchorId="1FDA65DC" wp14:editId="189D787A">
            <wp:extent cx="5833110" cy="3026410"/>
            <wp:effectExtent l="0" t="0" r="15240" b="2540"/>
            <wp:docPr id="969452617" name="Chart 969452617">
              <a:extLst xmlns:a="http://schemas.openxmlformats.org/drawingml/2006/main">
                <a:ext uri="{FF2B5EF4-FFF2-40B4-BE49-F238E27FC236}">
                  <a16:creationId xmlns:a16="http://schemas.microsoft.com/office/drawing/2014/main" id="{35C49CF3-55F0-E093-BA5C-62F9DD7D573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4B8F9939" w14:textId="77777777" w:rsidR="00C12D84" w:rsidRDefault="00C12D84" w:rsidP="00C12D84">
      <w:pPr>
        <w:pStyle w:val="BodyText2"/>
        <w:rPr>
          <w:rFonts w:eastAsia="Calibri" w:cs="Arial"/>
          <w:b w:val="0"/>
          <w:sz w:val="20"/>
          <w:szCs w:val="20"/>
          <w:lang w:val="en-GB" w:bidi="fr-FR"/>
        </w:rPr>
      </w:pPr>
      <w:r w:rsidRPr="004C6F8E">
        <w:rPr>
          <w:rFonts w:eastAsia="Calibri" w:cs="Arial"/>
          <w:b w:val="0"/>
          <w:sz w:val="20"/>
          <w:szCs w:val="20"/>
          <w:lang w:val="en-GB" w:bidi="fr-FR"/>
        </w:rPr>
        <w:t>Source: IMF REO Sub Saharan Africa April 202</w:t>
      </w:r>
      <w:r>
        <w:rPr>
          <w:rFonts w:eastAsia="Calibri" w:cs="Arial"/>
          <w:b w:val="0"/>
          <w:sz w:val="20"/>
          <w:szCs w:val="20"/>
          <w:lang w:val="en-GB" w:bidi="fr-FR"/>
        </w:rPr>
        <w:t>3</w:t>
      </w:r>
    </w:p>
    <w:p w14:paraId="5EF60994" w14:textId="77777777" w:rsidR="00C12D84" w:rsidRDefault="00C12D84" w:rsidP="00C12D84">
      <w:pPr>
        <w:pStyle w:val="Caption"/>
        <w:spacing w:after="0"/>
        <w:rPr>
          <w:rFonts w:ascii="Arial" w:hAnsi="Arial" w:cs="Arial"/>
          <w:i w:val="0"/>
          <w:iCs w:val="0"/>
          <w:color w:val="auto"/>
          <w:sz w:val="22"/>
          <w:szCs w:val="22"/>
          <w:lang w:val="en-US"/>
        </w:rPr>
      </w:pPr>
    </w:p>
    <w:p w14:paraId="12A60888" w14:textId="137AA809" w:rsidR="000F2D97" w:rsidRDefault="000F2D97" w:rsidP="000F2D97">
      <w:pPr>
        <w:spacing w:after="120" w:line="240" w:lineRule="auto"/>
        <w:jc w:val="both"/>
        <w:rPr>
          <w:rFonts w:ascii="Arial" w:hAnsi="Arial" w:cs="Arial"/>
          <w:lang w:val="en-US"/>
        </w:rPr>
      </w:pPr>
      <w:r>
        <w:rPr>
          <w:rFonts w:ascii="Arial" w:hAnsi="Arial" w:cs="Arial"/>
          <w:lang w:val="en-US"/>
        </w:rPr>
        <w:t xml:space="preserve">Looking outward, IMF projects the region’s growth momentum to slow down for a second year in a row to 5.3% in 2023 following the strong rebound in 2021. Growth will recover somewhat to 5.6% in 2024, but </w:t>
      </w:r>
      <w:r w:rsidRPr="00C339B5">
        <w:rPr>
          <w:rFonts w:ascii="Arial" w:hAnsi="Arial" w:cs="Arial"/>
          <w:lang w:val="en-US"/>
        </w:rPr>
        <w:t xml:space="preserve">remain </w:t>
      </w:r>
      <w:r>
        <w:rPr>
          <w:rFonts w:ascii="Arial" w:hAnsi="Arial" w:cs="Arial"/>
          <w:lang w:val="en-US"/>
        </w:rPr>
        <w:t xml:space="preserve">subdued </w:t>
      </w:r>
      <w:r w:rsidRPr="00C339B5">
        <w:rPr>
          <w:rFonts w:ascii="Arial" w:hAnsi="Arial" w:cs="Arial"/>
          <w:lang w:val="en-US"/>
        </w:rPr>
        <w:t xml:space="preserve">relative to pre-pandemic </w:t>
      </w:r>
      <w:r>
        <w:rPr>
          <w:rFonts w:ascii="Arial" w:hAnsi="Arial" w:cs="Arial"/>
          <w:lang w:val="en-US"/>
        </w:rPr>
        <w:t>levels</w:t>
      </w:r>
      <w:r w:rsidRPr="005142A8">
        <w:rPr>
          <w:rFonts w:ascii="Arial" w:hAnsi="Arial" w:cs="Arial"/>
          <w:lang w:val="en-US"/>
        </w:rPr>
        <w:t>.</w:t>
      </w:r>
      <w:r>
        <w:rPr>
          <w:rFonts w:ascii="Arial" w:hAnsi="Arial" w:cs="Arial"/>
          <w:lang w:val="en-US"/>
        </w:rPr>
        <w:t xml:space="preserve"> The projected decline in 2023 is on account of shrinking fiscal space arising from the financing squeeze the region currently faces. The global tightening cycle continues to pose higher uncertainty, including increasing foreign currency denominated borrowing and debt servicing costs and exchange rate depreciations. This is compounded by policy struggles from the ramification of the pandemic, including rises in central bank rates to fight inflation; and the dampening effects of the war in Ukraine on global economic activity and thus the region’s export demand. </w:t>
      </w:r>
    </w:p>
    <w:p w14:paraId="1CBE2AFC" w14:textId="52C63BF2" w:rsidR="009B514E" w:rsidRDefault="009B514E" w:rsidP="00D25303">
      <w:pPr>
        <w:spacing w:after="120"/>
        <w:jc w:val="both"/>
        <w:rPr>
          <w:rFonts w:ascii="Arial" w:hAnsi="Arial" w:cs="Arial"/>
          <w:lang w:val="en-US"/>
        </w:rPr>
      </w:pPr>
      <w:r>
        <w:rPr>
          <w:rFonts w:ascii="Arial" w:hAnsi="Arial" w:cs="Arial"/>
          <w:lang w:val="en-US"/>
        </w:rPr>
        <w:t>Recovery in 2024 is premised on</w:t>
      </w:r>
      <w:r w:rsidR="00A03A60">
        <w:rPr>
          <w:rFonts w:ascii="Arial" w:hAnsi="Arial" w:cs="Arial"/>
          <w:lang w:val="en-US"/>
        </w:rPr>
        <w:t>,</w:t>
      </w:r>
      <w:r>
        <w:rPr>
          <w:rFonts w:ascii="Arial" w:hAnsi="Arial" w:cs="Arial"/>
          <w:lang w:val="en-US"/>
        </w:rPr>
        <w:t xml:space="preserve"> </w:t>
      </w:r>
      <w:r w:rsidR="00C12D84">
        <w:rPr>
          <w:rFonts w:ascii="Arial" w:hAnsi="Arial" w:cs="Arial"/>
          <w:lang w:val="en-US"/>
        </w:rPr>
        <w:t xml:space="preserve">among </w:t>
      </w:r>
      <w:r w:rsidR="00845B70">
        <w:rPr>
          <w:rFonts w:ascii="Arial" w:hAnsi="Arial" w:cs="Arial"/>
          <w:lang w:val="en-US"/>
        </w:rPr>
        <w:t>others, expected</w:t>
      </w:r>
      <w:r>
        <w:rPr>
          <w:rFonts w:ascii="Arial" w:hAnsi="Arial" w:cs="Arial"/>
          <w:lang w:val="en-US"/>
        </w:rPr>
        <w:t xml:space="preserve"> recovery in global economic activity from the effects of the war in Ukraine; expected easing in global financial conditions as global inflation is expected to recede somewhat and expected decline in crude oil prices as demand pressures subside. </w:t>
      </w:r>
      <w:r w:rsidR="00900509">
        <w:rPr>
          <w:rFonts w:ascii="Arial" w:hAnsi="Arial" w:cs="Arial"/>
          <w:lang w:val="en-US"/>
        </w:rPr>
        <w:t xml:space="preserve">These factors are expected to jointly lead to higher private consumption and </w:t>
      </w:r>
      <w:r w:rsidR="00900509">
        <w:rPr>
          <w:rFonts w:ascii="Arial" w:hAnsi="Arial" w:cs="Arial"/>
          <w:lang w:val="en-US"/>
        </w:rPr>
        <w:lastRenderedPageBreak/>
        <w:t xml:space="preserve">investment in these countries. </w:t>
      </w:r>
      <w:r w:rsidR="0011309B">
        <w:rPr>
          <w:rFonts w:ascii="Arial" w:hAnsi="Arial" w:cs="Arial"/>
          <w:lang w:val="en-US"/>
        </w:rPr>
        <w:t xml:space="preserve">However, the outlook for global economic recovery is clouded by downside risks, including sizeable uncertainty on account of multiple shocks seen in recent years; sticker-than-expected global inflation which could prompt further tightening of global financial conditions which could </w:t>
      </w:r>
      <w:r w:rsidR="006D6A5E">
        <w:rPr>
          <w:rFonts w:ascii="Arial" w:hAnsi="Arial" w:cs="Arial"/>
          <w:lang w:val="en-US"/>
        </w:rPr>
        <w:t xml:space="preserve">pile more pressure on the exchange rate </w:t>
      </w:r>
      <w:r w:rsidR="0011309B">
        <w:rPr>
          <w:rFonts w:ascii="Arial" w:hAnsi="Arial" w:cs="Arial"/>
          <w:lang w:val="en-US"/>
        </w:rPr>
        <w:t xml:space="preserve">and </w:t>
      </w:r>
      <w:r w:rsidR="006D6A5E">
        <w:rPr>
          <w:rFonts w:ascii="Arial" w:hAnsi="Arial" w:cs="Arial"/>
          <w:lang w:val="en-US"/>
        </w:rPr>
        <w:t xml:space="preserve">further </w:t>
      </w:r>
      <w:r w:rsidR="0011309B">
        <w:rPr>
          <w:rFonts w:ascii="Arial" w:hAnsi="Arial" w:cs="Arial"/>
          <w:lang w:val="en-US"/>
        </w:rPr>
        <w:t xml:space="preserve">squeeze the already tight financing conditions in the region. </w:t>
      </w:r>
    </w:p>
    <w:p w14:paraId="142C8B58" w14:textId="77777777" w:rsidR="00DE04AF" w:rsidRDefault="00DE04AF" w:rsidP="00D25303">
      <w:pPr>
        <w:spacing w:after="120"/>
        <w:jc w:val="both"/>
        <w:rPr>
          <w:rFonts w:ascii="Arial" w:hAnsi="Arial" w:cs="Arial"/>
          <w:lang w:val="en-US"/>
        </w:rPr>
      </w:pPr>
    </w:p>
    <w:p w14:paraId="1730FDEC" w14:textId="77777777" w:rsidR="00C76C27" w:rsidRPr="008C697D" w:rsidRDefault="00C76C27" w:rsidP="00D25303">
      <w:pPr>
        <w:pStyle w:val="Heading1"/>
        <w:numPr>
          <w:ilvl w:val="0"/>
          <w:numId w:val="10"/>
        </w:numPr>
        <w:spacing w:before="0" w:after="120" w:line="276" w:lineRule="auto"/>
        <w:ind w:left="0"/>
        <w:rPr>
          <w:rFonts w:ascii="Arial" w:hAnsi="Arial" w:cs="Arial"/>
          <w:sz w:val="22"/>
          <w:szCs w:val="22"/>
        </w:rPr>
      </w:pPr>
      <w:bookmarkStart w:id="12" w:name="_Toc70943216"/>
      <w:bookmarkStart w:id="13" w:name="_Toc505769856"/>
      <w:r w:rsidRPr="008C697D">
        <w:rPr>
          <w:rFonts w:ascii="Arial" w:hAnsi="Arial" w:cs="Arial"/>
          <w:sz w:val="22"/>
          <w:szCs w:val="22"/>
        </w:rPr>
        <w:t>Inflation Rate</w:t>
      </w:r>
      <w:bookmarkEnd w:id="12"/>
    </w:p>
    <w:p w14:paraId="19EC7B3D" w14:textId="38CF9F61" w:rsidR="00D8011E" w:rsidRDefault="00C76C27" w:rsidP="001F5CE1">
      <w:pPr>
        <w:spacing w:after="120"/>
        <w:jc w:val="both"/>
        <w:rPr>
          <w:rFonts w:ascii="Arial" w:hAnsi="Arial" w:cs="Arial"/>
          <w:lang w:val="en-US"/>
        </w:rPr>
      </w:pPr>
      <w:r>
        <w:rPr>
          <w:rFonts w:ascii="Arial" w:hAnsi="Arial" w:cs="Arial"/>
          <w:lang w:val="en-US"/>
        </w:rPr>
        <w:t>The COMESA r</w:t>
      </w:r>
      <w:r w:rsidRPr="008C697D">
        <w:rPr>
          <w:rFonts w:ascii="Arial" w:hAnsi="Arial" w:cs="Arial"/>
          <w:lang w:val="en-US"/>
        </w:rPr>
        <w:t xml:space="preserve">egion wide average inflation rate </w:t>
      </w:r>
      <w:bookmarkStart w:id="14" w:name="_Hlk87455930"/>
      <w:r w:rsidR="00821B3D">
        <w:rPr>
          <w:rFonts w:ascii="Arial" w:hAnsi="Arial" w:cs="Arial"/>
          <w:lang w:val="en-US"/>
        </w:rPr>
        <w:t xml:space="preserve">rose to 19.4% </w:t>
      </w:r>
      <w:r w:rsidR="004F6134">
        <w:rPr>
          <w:rFonts w:ascii="Arial" w:hAnsi="Arial" w:cs="Arial"/>
          <w:lang w:val="en-US"/>
        </w:rPr>
        <w:t>in 202</w:t>
      </w:r>
      <w:r w:rsidR="00821B3D">
        <w:rPr>
          <w:rFonts w:ascii="Arial" w:hAnsi="Arial" w:cs="Arial"/>
          <w:lang w:val="en-US"/>
        </w:rPr>
        <w:t>2 from 14.6% in 2021</w:t>
      </w:r>
      <w:bookmarkEnd w:id="14"/>
      <w:r w:rsidR="00821B3D">
        <w:rPr>
          <w:rFonts w:ascii="Arial" w:hAnsi="Arial" w:cs="Arial"/>
          <w:lang w:val="en-US"/>
        </w:rPr>
        <w:t>, which is more than double the pre-pandemic average of 9.4%</w:t>
      </w:r>
      <w:r>
        <w:rPr>
          <w:rFonts w:ascii="Arial" w:hAnsi="Arial" w:cs="Arial"/>
          <w:lang w:val="en-US"/>
        </w:rPr>
        <w:t xml:space="preserve"> </w:t>
      </w:r>
      <w:r w:rsidRPr="008C697D">
        <w:rPr>
          <w:rFonts w:ascii="Arial" w:hAnsi="Arial" w:cs="Arial"/>
          <w:lang w:val="en-US"/>
        </w:rPr>
        <w:t>(</w:t>
      </w:r>
      <w:r w:rsidR="001F5CE1">
        <w:rPr>
          <w:rFonts w:ascii="Arial" w:hAnsi="Arial" w:cs="Arial"/>
          <w:b/>
          <w:bCs/>
          <w:lang w:val="en-US"/>
        </w:rPr>
        <w:t xml:space="preserve">Figure </w:t>
      </w:r>
      <w:r w:rsidR="00E66874" w:rsidRPr="00C4413A">
        <w:rPr>
          <w:rFonts w:ascii="Arial" w:hAnsi="Arial" w:cs="Arial"/>
          <w:b/>
          <w:bCs/>
          <w:lang w:val="en-US"/>
        </w:rPr>
        <w:t>2</w:t>
      </w:r>
      <w:r w:rsidRPr="008C697D">
        <w:rPr>
          <w:rFonts w:ascii="Arial" w:hAnsi="Arial" w:cs="Arial"/>
          <w:lang w:val="en-US"/>
        </w:rPr>
        <w:t>)</w:t>
      </w:r>
      <w:r w:rsidR="00821B3D">
        <w:rPr>
          <w:rFonts w:ascii="Arial" w:hAnsi="Arial" w:cs="Arial"/>
          <w:lang w:val="en-US"/>
        </w:rPr>
        <w:t xml:space="preserve">. </w:t>
      </w:r>
      <w:bookmarkStart w:id="15" w:name="_Hlk87455983"/>
      <w:r w:rsidR="00D6340E">
        <w:rPr>
          <w:rFonts w:ascii="Arial" w:hAnsi="Arial" w:cs="Arial"/>
          <w:lang w:val="en-US"/>
        </w:rPr>
        <w:t xml:space="preserve">There was </w:t>
      </w:r>
      <w:r w:rsidR="00A30C92">
        <w:rPr>
          <w:rFonts w:ascii="Arial" w:hAnsi="Arial" w:cs="Arial"/>
          <w:lang w:val="en-US"/>
        </w:rPr>
        <w:t>s</w:t>
      </w:r>
      <w:r w:rsidR="00C21229">
        <w:rPr>
          <w:rFonts w:ascii="Arial" w:hAnsi="Arial" w:cs="Arial"/>
          <w:lang w:val="en-US"/>
        </w:rPr>
        <w:t xml:space="preserve">trong </w:t>
      </w:r>
      <w:r w:rsidR="00A30C92">
        <w:rPr>
          <w:rFonts w:ascii="Arial" w:hAnsi="Arial" w:cs="Arial"/>
          <w:lang w:val="en-US"/>
        </w:rPr>
        <w:t>build-up of inflationary pressures in most COMESA countries</w:t>
      </w:r>
      <w:r w:rsidR="00A574CB">
        <w:rPr>
          <w:rFonts w:ascii="Arial" w:hAnsi="Arial" w:cs="Arial"/>
          <w:lang w:val="en-US"/>
        </w:rPr>
        <w:t xml:space="preserve"> in 202</w:t>
      </w:r>
      <w:r w:rsidR="008640C1">
        <w:rPr>
          <w:rFonts w:ascii="Arial" w:hAnsi="Arial" w:cs="Arial"/>
          <w:lang w:val="en-US"/>
        </w:rPr>
        <w:t>2</w:t>
      </w:r>
      <w:r w:rsidR="007D07A0">
        <w:rPr>
          <w:rFonts w:ascii="Arial" w:hAnsi="Arial" w:cs="Arial"/>
          <w:lang w:val="en-US"/>
        </w:rPr>
        <w:t xml:space="preserve">, </w:t>
      </w:r>
      <w:r w:rsidR="008640C1">
        <w:rPr>
          <w:rFonts w:ascii="Arial" w:hAnsi="Arial" w:cs="Arial"/>
          <w:lang w:val="en-US"/>
        </w:rPr>
        <w:t xml:space="preserve">hitting double digit </w:t>
      </w:r>
      <w:r w:rsidR="00A574CB">
        <w:rPr>
          <w:rFonts w:ascii="Arial" w:hAnsi="Arial" w:cs="Arial"/>
          <w:lang w:val="en-US"/>
        </w:rPr>
        <w:t xml:space="preserve">particularly in countries that have greater reliance on food imports or suffered </w:t>
      </w:r>
      <w:r w:rsidR="00DE04AF">
        <w:rPr>
          <w:rFonts w:ascii="Arial" w:hAnsi="Arial" w:cs="Arial"/>
          <w:lang w:val="en-US"/>
        </w:rPr>
        <w:t>t</w:t>
      </w:r>
      <w:r w:rsidR="00902F6A">
        <w:rPr>
          <w:rFonts w:ascii="Arial" w:hAnsi="Arial" w:cs="Arial"/>
          <w:lang w:val="en-US"/>
        </w:rPr>
        <w:t xml:space="preserve">he wrath of climate change </w:t>
      </w:r>
      <w:r w:rsidR="008640C1">
        <w:rPr>
          <w:rFonts w:ascii="Arial" w:hAnsi="Arial" w:cs="Arial"/>
          <w:lang w:val="en-US"/>
        </w:rPr>
        <w:t>(</w:t>
      </w:r>
      <w:r w:rsidR="007D07A0">
        <w:rPr>
          <w:rFonts w:ascii="Arial" w:hAnsi="Arial" w:cs="Arial"/>
          <w:lang w:val="en-US"/>
        </w:rPr>
        <w:t>droughts</w:t>
      </w:r>
      <w:r w:rsidR="00463718">
        <w:rPr>
          <w:rFonts w:ascii="Arial" w:hAnsi="Arial" w:cs="Arial"/>
          <w:lang w:val="en-US"/>
        </w:rPr>
        <w:t xml:space="preserve">, </w:t>
      </w:r>
      <w:r w:rsidR="007B4A34">
        <w:rPr>
          <w:rFonts w:ascii="Arial" w:hAnsi="Arial" w:cs="Arial"/>
          <w:lang w:val="en-US"/>
        </w:rPr>
        <w:t>storms and floods</w:t>
      </w:r>
      <w:r w:rsidR="008640C1">
        <w:rPr>
          <w:rFonts w:ascii="Arial" w:hAnsi="Arial" w:cs="Arial"/>
          <w:lang w:val="en-US"/>
        </w:rPr>
        <w:t>)</w:t>
      </w:r>
      <w:r w:rsidR="007B4A34">
        <w:rPr>
          <w:rFonts w:ascii="Arial" w:hAnsi="Arial" w:cs="Arial"/>
          <w:lang w:val="en-US"/>
        </w:rPr>
        <w:t xml:space="preserve"> </w:t>
      </w:r>
      <w:r w:rsidR="00463718">
        <w:rPr>
          <w:rFonts w:ascii="Arial" w:hAnsi="Arial" w:cs="Arial"/>
          <w:lang w:val="en-US"/>
        </w:rPr>
        <w:t>which amplified the effect of distortions in global supply chain and</w:t>
      </w:r>
      <w:r w:rsidR="00902F6A">
        <w:rPr>
          <w:rFonts w:ascii="Arial" w:hAnsi="Arial" w:cs="Arial"/>
          <w:lang w:val="en-US"/>
        </w:rPr>
        <w:t xml:space="preserve"> on</w:t>
      </w:r>
      <w:r w:rsidR="00463718">
        <w:rPr>
          <w:rFonts w:ascii="Arial" w:hAnsi="Arial" w:cs="Arial"/>
          <w:lang w:val="en-US"/>
        </w:rPr>
        <w:t xml:space="preserve"> a </w:t>
      </w:r>
      <w:r w:rsidR="00591856">
        <w:rPr>
          <w:rFonts w:ascii="Arial" w:hAnsi="Arial" w:cs="Arial"/>
          <w:lang w:val="en-US"/>
        </w:rPr>
        <w:t xml:space="preserve">significant increase </w:t>
      </w:r>
      <w:r w:rsidR="00E4131D">
        <w:rPr>
          <w:rFonts w:ascii="Arial" w:hAnsi="Arial" w:cs="Arial"/>
          <w:lang w:val="en-US"/>
        </w:rPr>
        <w:t xml:space="preserve">in </w:t>
      </w:r>
      <w:r w:rsidR="00591856">
        <w:rPr>
          <w:rFonts w:ascii="Arial" w:hAnsi="Arial" w:cs="Arial"/>
          <w:lang w:val="en-US"/>
        </w:rPr>
        <w:t xml:space="preserve">international </w:t>
      </w:r>
      <w:r w:rsidR="00463718">
        <w:rPr>
          <w:rFonts w:ascii="Arial" w:hAnsi="Arial" w:cs="Arial"/>
          <w:lang w:val="en-US"/>
        </w:rPr>
        <w:t xml:space="preserve">energy prices </w:t>
      </w:r>
      <w:r w:rsidR="00591856">
        <w:rPr>
          <w:rFonts w:ascii="Arial" w:hAnsi="Arial" w:cs="Arial"/>
          <w:lang w:val="en-US"/>
        </w:rPr>
        <w:t xml:space="preserve">during the year under review. </w:t>
      </w:r>
      <w:r w:rsidR="00E04B31">
        <w:rPr>
          <w:rFonts w:ascii="Arial" w:hAnsi="Arial" w:cs="Arial"/>
          <w:lang w:val="en-US"/>
        </w:rPr>
        <w:t>Furthermore, some countries yielded to significant pressures to raise public wages in response to increases in the cost</w:t>
      </w:r>
      <w:r w:rsidR="00902F6A">
        <w:rPr>
          <w:rFonts w:ascii="Arial" w:hAnsi="Arial" w:cs="Arial"/>
          <w:lang w:val="en-US"/>
        </w:rPr>
        <w:t xml:space="preserve"> of</w:t>
      </w:r>
      <w:r w:rsidR="00E04B31">
        <w:rPr>
          <w:rFonts w:ascii="Arial" w:hAnsi="Arial" w:cs="Arial"/>
          <w:lang w:val="en-US"/>
        </w:rPr>
        <w:t xml:space="preserve"> living triggered by higher food and fuel prices. </w:t>
      </w:r>
      <w:bookmarkEnd w:id="15"/>
      <w:r w:rsidR="00D8011E">
        <w:rPr>
          <w:rFonts w:ascii="Arial" w:hAnsi="Arial" w:cs="Arial"/>
          <w:lang w:val="en-US"/>
        </w:rPr>
        <w:t xml:space="preserve">As per IMF REO data, </w:t>
      </w:r>
      <w:r w:rsidR="008640C1">
        <w:rPr>
          <w:rFonts w:ascii="Arial" w:hAnsi="Arial" w:cs="Arial"/>
          <w:lang w:val="en-US"/>
        </w:rPr>
        <w:t xml:space="preserve">nine </w:t>
      </w:r>
      <w:r w:rsidR="00D8011E" w:rsidRPr="00D8011E">
        <w:rPr>
          <w:rFonts w:ascii="Arial" w:hAnsi="Arial" w:cs="Arial"/>
          <w:lang w:val="en-US"/>
        </w:rPr>
        <w:t>(</w:t>
      </w:r>
      <w:r w:rsidR="008640C1">
        <w:rPr>
          <w:rFonts w:ascii="Arial" w:hAnsi="Arial" w:cs="Arial"/>
          <w:lang w:val="en-US"/>
        </w:rPr>
        <w:t>09)</w:t>
      </w:r>
      <w:r w:rsidR="00D8011E" w:rsidRPr="00D8011E">
        <w:rPr>
          <w:rFonts w:ascii="Arial" w:hAnsi="Arial" w:cs="Arial"/>
          <w:lang w:val="en-US"/>
        </w:rPr>
        <w:t xml:space="preserve"> COMESA member countries, namely </w:t>
      </w:r>
      <w:r w:rsidR="00D8011E">
        <w:rPr>
          <w:rFonts w:ascii="Arial" w:hAnsi="Arial" w:cs="Arial"/>
          <w:lang w:val="en-US"/>
        </w:rPr>
        <w:t xml:space="preserve">Djibouti, Eritrea, Eswatini, </w:t>
      </w:r>
      <w:r w:rsidR="008640C1">
        <w:rPr>
          <w:rFonts w:ascii="Arial" w:hAnsi="Arial" w:cs="Arial"/>
          <w:lang w:val="en-US"/>
        </w:rPr>
        <w:t>K</w:t>
      </w:r>
      <w:r w:rsidR="00D8011E" w:rsidRPr="00D8011E">
        <w:rPr>
          <w:rFonts w:ascii="Arial" w:hAnsi="Arial" w:cs="Arial"/>
          <w:lang w:val="en-US"/>
        </w:rPr>
        <w:t xml:space="preserve">enya, </w:t>
      </w:r>
      <w:r w:rsidR="008640C1">
        <w:rPr>
          <w:rFonts w:ascii="Arial" w:hAnsi="Arial" w:cs="Arial"/>
          <w:lang w:val="en-US"/>
        </w:rPr>
        <w:t xml:space="preserve">Libya, </w:t>
      </w:r>
      <w:r w:rsidR="00D8011E" w:rsidRPr="00D8011E">
        <w:rPr>
          <w:rFonts w:ascii="Arial" w:hAnsi="Arial" w:cs="Arial"/>
          <w:lang w:val="en-US"/>
        </w:rPr>
        <w:t xml:space="preserve">Madagascar, </w:t>
      </w:r>
      <w:r w:rsidR="008640C1">
        <w:rPr>
          <w:rFonts w:ascii="Arial" w:hAnsi="Arial" w:cs="Arial"/>
          <w:lang w:val="en-US"/>
        </w:rPr>
        <w:t xml:space="preserve">Seychelles, Somalia, </w:t>
      </w:r>
      <w:r w:rsidR="00D8011E" w:rsidRPr="00D8011E">
        <w:rPr>
          <w:rFonts w:ascii="Arial" w:hAnsi="Arial" w:cs="Arial"/>
          <w:lang w:val="en-US"/>
        </w:rPr>
        <w:t xml:space="preserve">and Uganda achieved the COMESA macroeconomic Convergence Criteria of average annual inflation rate of 7% (with a band of +/-1%). </w:t>
      </w:r>
    </w:p>
    <w:p w14:paraId="5C342805" w14:textId="77777777" w:rsidR="006E6892" w:rsidRDefault="006E6892" w:rsidP="00E66874">
      <w:pPr>
        <w:pStyle w:val="Caption"/>
        <w:spacing w:after="0"/>
        <w:rPr>
          <w:rFonts w:ascii="Arial" w:hAnsi="Arial" w:cs="Arial"/>
          <w:i w:val="0"/>
          <w:iCs w:val="0"/>
          <w:color w:val="auto"/>
          <w:sz w:val="22"/>
          <w:szCs w:val="22"/>
          <w:lang w:val="en-US"/>
        </w:rPr>
      </w:pPr>
    </w:p>
    <w:p w14:paraId="1CF14E9C" w14:textId="4FC5394D" w:rsidR="00C76C27" w:rsidRDefault="00E66874" w:rsidP="00E66874">
      <w:pPr>
        <w:pStyle w:val="Caption"/>
        <w:spacing w:after="0"/>
        <w:rPr>
          <w:rFonts w:ascii="Arial" w:hAnsi="Arial" w:cs="Arial"/>
          <w:i w:val="0"/>
          <w:iCs w:val="0"/>
          <w:color w:val="auto"/>
          <w:sz w:val="22"/>
          <w:szCs w:val="22"/>
          <w:lang w:val="en-US"/>
        </w:rPr>
      </w:pPr>
      <w:r w:rsidRPr="00E66874">
        <w:rPr>
          <w:rFonts w:ascii="Arial" w:hAnsi="Arial" w:cs="Arial"/>
          <w:i w:val="0"/>
          <w:iCs w:val="0"/>
          <w:color w:val="auto"/>
          <w:sz w:val="22"/>
          <w:szCs w:val="22"/>
          <w:lang w:val="en-US"/>
        </w:rPr>
        <w:t xml:space="preserve">Figure </w:t>
      </w:r>
      <w:r w:rsidRPr="00E66874">
        <w:rPr>
          <w:rFonts w:ascii="Arial" w:hAnsi="Arial" w:cs="Arial"/>
          <w:i w:val="0"/>
          <w:iCs w:val="0"/>
          <w:color w:val="auto"/>
          <w:sz w:val="22"/>
          <w:szCs w:val="22"/>
          <w:lang w:val="en-US"/>
        </w:rPr>
        <w:fldChar w:fldCharType="begin"/>
      </w:r>
      <w:r w:rsidRPr="00E66874">
        <w:rPr>
          <w:rFonts w:ascii="Arial" w:hAnsi="Arial" w:cs="Arial"/>
          <w:i w:val="0"/>
          <w:iCs w:val="0"/>
          <w:color w:val="auto"/>
          <w:sz w:val="22"/>
          <w:szCs w:val="22"/>
          <w:lang w:val="en-US"/>
        </w:rPr>
        <w:instrText xml:space="preserve"> SEQ Figure \* ARABIC </w:instrText>
      </w:r>
      <w:r w:rsidRPr="00E66874">
        <w:rPr>
          <w:rFonts w:ascii="Arial" w:hAnsi="Arial" w:cs="Arial"/>
          <w:i w:val="0"/>
          <w:iCs w:val="0"/>
          <w:color w:val="auto"/>
          <w:sz w:val="22"/>
          <w:szCs w:val="22"/>
          <w:lang w:val="en-US"/>
        </w:rPr>
        <w:fldChar w:fldCharType="separate"/>
      </w:r>
      <w:r w:rsidR="00C67278">
        <w:rPr>
          <w:rFonts w:ascii="Arial" w:hAnsi="Arial" w:cs="Arial"/>
          <w:i w:val="0"/>
          <w:iCs w:val="0"/>
          <w:noProof/>
          <w:color w:val="auto"/>
          <w:sz w:val="22"/>
          <w:szCs w:val="22"/>
          <w:lang w:val="en-US"/>
        </w:rPr>
        <w:t>2</w:t>
      </w:r>
      <w:r w:rsidRPr="00E66874">
        <w:rPr>
          <w:rFonts w:ascii="Arial" w:hAnsi="Arial" w:cs="Arial"/>
          <w:i w:val="0"/>
          <w:iCs w:val="0"/>
          <w:color w:val="auto"/>
          <w:sz w:val="22"/>
          <w:szCs w:val="22"/>
          <w:lang w:val="en-US"/>
        </w:rPr>
        <w:fldChar w:fldCharType="end"/>
      </w:r>
      <w:r w:rsidRPr="00E66874">
        <w:rPr>
          <w:rFonts w:ascii="Arial" w:hAnsi="Arial" w:cs="Arial"/>
          <w:i w:val="0"/>
          <w:iCs w:val="0"/>
          <w:color w:val="auto"/>
          <w:sz w:val="22"/>
          <w:szCs w:val="22"/>
          <w:lang w:val="en-US"/>
        </w:rPr>
        <w:t>:</w:t>
      </w:r>
      <w:r>
        <w:rPr>
          <w:rFonts w:ascii="Arial" w:hAnsi="Arial" w:cs="Arial"/>
          <w:i w:val="0"/>
          <w:iCs w:val="0"/>
          <w:color w:val="auto"/>
          <w:sz w:val="22"/>
          <w:szCs w:val="22"/>
          <w:lang w:val="en-US"/>
        </w:rPr>
        <w:t xml:space="preserve"> </w:t>
      </w:r>
      <w:r w:rsidRPr="00E66874">
        <w:rPr>
          <w:rFonts w:ascii="Arial" w:hAnsi="Arial" w:cs="Arial"/>
          <w:i w:val="0"/>
          <w:iCs w:val="0"/>
          <w:color w:val="auto"/>
          <w:sz w:val="22"/>
          <w:szCs w:val="22"/>
          <w:lang w:val="en-US"/>
        </w:rPr>
        <w:t>COMESA average Consumer Prices (annual av., % Change)</w:t>
      </w:r>
    </w:p>
    <w:p w14:paraId="1AC692CD" w14:textId="77777777" w:rsidR="00C12D84" w:rsidRDefault="00C12D84" w:rsidP="00C12D84">
      <w:pPr>
        <w:spacing w:after="0" w:line="240" w:lineRule="auto"/>
      </w:pPr>
      <w:r>
        <w:rPr>
          <w:noProof/>
        </w:rPr>
        <w:drawing>
          <wp:inline distT="0" distB="0" distL="0" distR="0" wp14:anchorId="7946C00D" wp14:editId="29E824AD">
            <wp:extent cx="6004560" cy="2983230"/>
            <wp:effectExtent l="0" t="0" r="15240" b="7620"/>
            <wp:docPr id="168434894" name="Chart 168434894">
              <a:extLst xmlns:a="http://schemas.openxmlformats.org/drawingml/2006/main">
                <a:ext uri="{FF2B5EF4-FFF2-40B4-BE49-F238E27FC236}">
                  <a16:creationId xmlns:a16="http://schemas.microsoft.com/office/drawing/2014/main" id="{FBB56927-8896-82B2-46AE-DD81D2D49FE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4EFA7426" w14:textId="77777777" w:rsidR="00C12D84" w:rsidRDefault="00C12D84" w:rsidP="00C12D84">
      <w:pPr>
        <w:pStyle w:val="BodyText2"/>
        <w:rPr>
          <w:rFonts w:eastAsia="Calibri" w:cs="Arial"/>
          <w:b w:val="0"/>
          <w:sz w:val="20"/>
          <w:szCs w:val="20"/>
          <w:lang w:val="en-GB" w:bidi="fr-FR"/>
        </w:rPr>
      </w:pPr>
      <w:r w:rsidRPr="004C6F8E">
        <w:rPr>
          <w:rFonts w:eastAsia="Calibri" w:cs="Arial"/>
          <w:b w:val="0"/>
          <w:sz w:val="20"/>
          <w:szCs w:val="20"/>
          <w:lang w:val="en-GB" w:bidi="fr-FR"/>
        </w:rPr>
        <w:t>Source: IMF REO Sub Saharan Africa April 202</w:t>
      </w:r>
      <w:r>
        <w:rPr>
          <w:rFonts w:eastAsia="Calibri" w:cs="Arial"/>
          <w:b w:val="0"/>
          <w:sz w:val="20"/>
          <w:szCs w:val="20"/>
          <w:lang w:val="en-GB" w:bidi="fr-FR"/>
        </w:rPr>
        <w:t>3</w:t>
      </w:r>
    </w:p>
    <w:p w14:paraId="304256A5" w14:textId="77777777" w:rsidR="00C12D84" w:rsidRPr="00EF5EA0" w:rsidRDefault="00C12D84" w:rsidP="00EF5EA0">
      <w:pPr>
        <w:rPr>
          <w:lang w:val="en-US"/>
        </w:rPr>
      </w:pPr>
    </w:p>
    <w:p w14:paraId="5F379C47" w14:textId="77777777" w:rsidR="001F5CE1" w:rsidRDefault="001F5CE1" w:rsidP="001F5CE1">
      <w:pPr>
        <w:spacing w:after="120"/>
        <w:jc w:val="both"/>
        <w:rPr>
          <w:rFonts w:ascii="Arial" w:hAnsi="Arial" w:cs="Arial"/>
          <w:lang w:val="en-US"/>
        </w:rPr>
      </w:pPr>
      <w:bookmarkStart w:id="16" w:name="_Hlk115875737"/>
      <w:r>
        <w:rPr>
          <w:rFonts w:ascii="Arial" w:hAnsi="Arial" w:cs="Arial"/>
          <w:lang w:val="en-US"/>
        </w:rPr>
        <w:t xml:space="preserve">The fuel pump price pressures have started to recede following a fall, by up to 30% in international crude prices, as at end of 2022 from their peak in mid-2022 and are estimated at $74.2 and $70 per barrel in 2023 and 2024, respectively, down from $85.5 in 2022. Global food prices have also started to ease and are projected to continue on easing trajectory over the IMF’s two year’s projection horizon, by 4.9% and 2.5% in 2023 and 2024, respectively. These developments are expected to slow down global inflation, providing some retrieve for the region. </w:t>
      </w:r>
    </w:p>
    <w:p w14:paraId="73732CDA" w14:textId="77777777" w:rsidR="001F5CE1" w:rsidRDefault="001F5CE1" w:rsidP="001F5CE1">
      <w:pPr>
        <w:spacing w:after="120"/>
        <w:jc w:val="both"/>
        <w:rPr>
          <w:rFonts w:ascii="Arial" w:hAnsi="Arial" w:cs="Arial"/>
          <w:lang w:val="en-US"/>
        </w:rPr>
      </w:pPr>
      <w:r>
        <w:rPr>
          <w:rFonts w:ascii="Arial" w:hAnsi="Arial" w:cs="Arial"/>
          <w:lang w:val="en-US"/>
        </w:rPr>
        <w:t xml:space="preserve">Reflecting these considerations, region wide inflation is </w:t>
      </w:r>
      <w:r w:rsidRPr="004F6134">
        <w:rPr>
          <w:rFonts w:ascii="Arial" w:hAnsi="Arial" w:cs="Arial"/>
          <w:lang w:val="en-US"/>
        </w:rPr>
        <w:t xml:space="preserve">projected to </w:t>
      </w:r>
      <w:r>
        <w:rPr>
          <w:rFonts w:ascii="Arial" w:hAnsi="Arial" w:cs="Arial"/>
          <w:lang w:val="en-US"/>
        </w:rPr>
        <w:t xml:space="preserve">ease somewhat to 18.5% </w:t>
      </w:r>
      <w:r w:rsidRPr="004F6134">
        <w:rPr>
          <w:rFonts w:ascii="Arial" w:hAnsi="Arial" w:cs="Arial"/>
          <w:lang w:val="en-US"/>
        </w:rPr>
        <w:t>in 202</w:t>
      </w:r>
      <w:r>
        <w:rPr>
          <w:rFonts w:ascii="Arial" w:hAnsi="Arial" w:cs="Arial"/>
          <w:lang w:val="en-US"/>
        </w:rPr>
        <w:t>3 and further to 14.1% in 2024 (</w:t>
      </w:r>
      <w:r w:rsidRPr="00C4413A">
        <w:rPr>
          <w:rFonts w:ascii="Arial" w:hAnsi="Arial" w:cs="Arial"/>
          <w:b/>
          <w:bCs/>
          <w:lang w:val="en-US"/>
        </w:rPr>
        <w:t>Fig. 2</w:t>
      </w:r>
      <w:r>
        <w:rPr>
          <w:rFonts w:ascii="Arial" w:hAnsi="Arial" w:cs="Arial"/>
          <w:lang w:val="en-US"/>
        </w:rPr>
        <w:t xml:space="preserve">), although largely remain above the pre-pandemic </w:t>
      </w:r>
      <w:r>
        <w:rPr>
          <w:rFonts w:ascii="Arial" w:hAnsi="Arial" w:cs="Arial"/>
          <w:lang w:val="en-US"/>
        </w:rPr>
        <w:lastRenderedPageBreak/>
        <w:t xml:space="preserve">average of 9.4%. As noted in part above, the bright picture on inflation outlook is contingent on </w:t>
      </w:r>
      <w:r w:rsidRPr="00A70750">
        <w:rPr>
          <w:rFonts w:ascii="Arial" w:hAnsi="Arial" w:cs="Arial"/>
          <w:lang w:val="en-US"/>
        </w:rPr>
        <w:t xml:space="preserve">expected easing of global </w:t>
      </w:r>
      <w:r>
        <w:rPr>
          <w:rFonts w:ascii="Arial" w:hAnsi="Arial" w:cs="Arial"/>
          <w:lang w:val="en-US"/>
        </w:rPr>
        <w:t xml:space="preserve">but also </w:t>
      </w:r>
      <w:r w:rsidRPr="00A70750">
        <w:rPr>
          <w:rFonts w:ascii="Arial" w:hAnsi="Arial" w:cs="Arial"/>
          <w:lang w:val="en-US"/>
        </w:rPr>
        <w:t xml:space="preserve">local supply challenges, and the </w:t>
      </w:r>
      <w:r>
        <w:rPr>
          <w:rFonts w:ascii="Arial" w:hAnsi="Arial" w:cs="Arial"/>
          <w:lang w:val="en-US"/>
        </w:rPr>
        <w:t xml:space="preserve">likelihood that the </w:t>
      </w:r>
      <w:r w:rsidRPr="00A70750">
        <w:rPr>
          <w:rFonts w:ascii="Arial" w:hAnsi="Arial" w:cs="Arial"/>
          <w:lang w:val="en-US"/>
        </w:rPr>
        <w:t xml:space="preserve">region’s central banks </w:t>
      </w:r>
      <w:r>
        <w:rPr>
          <w:rFonts w:ascii="Arial" w:hAnsi="Arial" w:cs="Arial"/>
          <w:lang w:val="en-US"/>
        </w:rPr>
        <w:t xml:space="preserve">would anchor inflation expectations should </w:t>
      </w:r>
      <w:r w:rsidRPr="00A70750">
        <w:rPr>
          <w:rFonts w:ascii="Arial" w:hAnsi="Arial" w:cs="Arial"/>
          <w:lang w:val="en-US"/>
        </w:rPr>
        <w:t xml:space="preserve">inflationary pressures </w:t>
      </w:r>
      <w:r>
        <w:rPr>
          <w:rFonts w:ascii="Arial" w:hAnsi="Arial" w:cs="Arial"/>
          <w:lang w:val="en-US"/>
        </w:rPr>
        <w:t>threaten to stren</w:t>
      </w:r>
      <w:r w:rsidRPr="00A70750">
        <w:rPr>
          <w:rFonts w:ascii="Arial" w:hAnsi="Arial" w:cs="Arial"/>
          <w:lang w:val="en-US"/>
        </w:rPr>
        <w:t>gthen.</w:t>
      </w:r>
      <w:r>
        <w:rPr>
          <w:rFonts w:ascii="Arial" w:hAnsi="Arial" w:cs="Arial"/>
          <w:lang w:val="en-US"/>
        </w:rPr>
        <w:t xml:space="preserve"> </w:t>
      </w:r>
    </w:p>
    <w:bookmarkEnd w:id="16"/>
    <w:p w14:paraId="7332C002" w14:textId="7565AAE1" w:rsidR="00C76C27" w:rsidRDefault="00C76C27" w:rsidP="00C76C27">
      <w:pPr>
        <w:pStyle w:val="BodyText2"/>
        <w:rPr>
          <w:rFonts w:eastAsia="Calibri" w:cs="Arial"/>
          <w:b w:val="0"/>
          <w:sz w:val="20"/>
          <w:szCs w:val="20"/>
          <w:lang w:val="en-GB" w:bidi="fr-FR"/>
        </w:rPr>
      </w:pPr>
    </w:p>
    <w:p w14:paraId="08E22B04" w14:textId="21F2F739" w:rsidR="0030356E" w:rsidRPr="009B2E65" w:rsidRDefault="0030356E" w:rsidP="00D25303">
      <w:pPr>
        <w:pStyle w:val="Heading1"/>
        <w:numPr>
          <w:ilvl w:val="0"/>
          <w:numId w:val="10"/>
        </w:numPr>
        <w:spacing w:before="0" w:after="120" w:line="276" w:lineRule="auto"/>
        <w:ind w:left="0"/>
        <w:rPr>
          <w:rFonts w:ascii="Arial" w:hAnsi="Arial" w:cs="Arial"/>
          <w:sz w:val="22"/>
          <w:szCs w:val="22"/>
        </w:rPr>
      </w:pPr>
      <w:bookmarkStart w:id="17" w:name="_Toc70943217"/>
      <w:r w:rsidRPr="009B2E65">
        <w:rPr>
          <w:rFonts w:ascii="Arial" w:hAnsi="Arial" w:cs="Arial"/>
          <w:sz w:val="22"/>
          <w:szCs w:val="22"/>
        </w:rPr>
        <w:t xml:space="preserve">Monetary </w:t>
      </w:r>
      <w:r w:rsidR="00B12F9D">
        <w:rPr>
          <w:rFonts w:ascii="Arial" w:hAnsi="Arial" w:cs="Arial"/>
          <w:sz w:val="22"/>
          <w:szCs w:val="22"/>
        </w:rPr>
        <w:t xml:space="preserve">and </w:t>
      </w:r>
      <w:r w:rsidRPr="009B2E65">
        <w:rPr>
          <w:rFonts w:ascii="Arial" w:hAnsi="Arial" w:cs="Arial"/>
          <w:sz w:val="22"/>
          <w:szCs w:val="22"/>
        </w:rPr>
        <w:t xml:space="preserve">Exchange Rate </w:t>
      </w:r>
      <w:r w:rsidR="00C12D84">
        <w:rPr>
          <w:rFonts w:ascii="Arial" w:hAnsi="Arial" w:cs="Arial"/>
          <w:sz w:val="22"/>
          <w:szCs w:val="22"/>
        </w:rPr>
        <w:t>D</w:t>
      </w:r>
      <w:r w:rsidRPr="009B2E65">
        <w:rPr>
          <w:rFonts w:ascii="Arial" w:hAnsi="Arial" w:cs="Arial"/>
          <w:sz w:val="22"/>
          <w:szCs w:val="22"/>
        </w:rPr>
        <w:t>evelopments</w:t>
      </w:r>
      <w:bookmarkEnd w:id="17"/>
    </w:p>
    <w:p w14:paraId="4325A4DE" w14:textId="01B81833" w:rsidR="00185C0D" w:rsidRDefault="00C76C30" w:rsidP="00185C0D">
      <w:pPr>
        <w:spacing w:after="120"/>
        <w:jc w:val="both"/>
        <w:rPr>
          <w:rFonts w:ascii="Arial" w:hAnsi="Arial" w:cs="Arial"/>
          <w:bCs/>
          <w:lang w:val="en-US"/>
        </w:rPr>
      </w:pPr>
      <w:r>
        <w:rPr>
          <w:rFonts w:ascii="Arial" w:hAnsi="Arial" w:cs="Arial"/>
          <w:bCs/>
          <w:lang w:val="en-US"/>
        </w:rPr>
        <w:t xml:space="preserve">In </w:t>
      </w:r>
      <w:r w:rsidR="00610D7A">
        <w:rPr>
          <w:rFonts w:ascii="Arial" w:hAnsi="Arial" w:cs="Arial"/>
          <w:bCs/>
          <w:lang w:val="en-US"/>
        </w:rPr>
        <w:t>202</w:t>
      </w:r>
      <w:r>
        <w:rPr>
          <w:rFonts w:ascii="Arial" w:hAnsi="Arial" w:cs="Arial"/>
          <w:bCs/>
          <w:lang w:val="en-US"/>
        </w:rPr>
        <w:t xml:space="preserve">2, inflation, on average, remained elevated, </w:t>
      </w:r>
      <w:r>
        <w:rPr>
          <w:rFonts w:ascii="Arial" w:hAnsi="Arial" w:cs="Arial"/>
          <w:lang w:val="en-US"/>
        </w:rPr>
        <w:t xml:space="preserve">hitting double digit </w:t>
      </w:r>
      <w:r w:rsidR="00902F6A">
        <w:rPr>
          <w:rFonts w:ascii="Arial" w:hAnsi="Arial" w:cs="Arial"/>
          <w:lang w:val="en-US"/>
        </w:rPr>
        <w:t xml:space="preserve">particularly </w:t>
      </w:r>
      <w:r>
        <w:rPr>
          <w:rFonts w:ascii="Arial" w:hAnsi="Arial" w:cs="Arial"/>
          <w:lang w:val="en-US"/>
        </w:rPr>
        <w:t xml:space="preserve">in some countries that have greater reliance on food </w:t>
      </w:r>
      <w:r w:rsidR="003C5437">
        <w:rPr>
          <w:rFonts w:ascii="Arial" w:hAnsi="Arial" w:cs="Arial"/>
          <w:lang w:val="en-US"/>
        </w:rPr>
        <w:t xml:space="preserve">and fuel </w:t>
      </w:r>
      <w:r>
        <w:rPr>
          <w:rFonts w:ascii="Arial" w:hAnsi="Arial" w:cs="Arial"/>
          <w:lang w:val="en-US"/>
        </w:rPr>
        <w:t xml:space="preserve">imports </w:t>
      </w:r>
      <w:r w:rsidR="007E6E34">
        <w:rPr>
          <w:rFonts w:ascii="Arial" w:hAnsi="Arial" w:cs="Arial"/>
          <w:lang w:val="en-US"/>
        </w:rPr>
        <w:t>and/</w:t>
      </w:r>
      <w:r>
        <w:rPr>
          <w:rFonts w:ascii="Arial" w:hAnsi="Arial" w:cs="Arial"/>
          <w:lang w:val="en-US"/>
        </w:rPr>
        <w:t xml:space="preserve">or suffered the wrath of climate change </w:t>
      </w:r>
      <w:r w:rsidR="00902F6A">
        <w:rPr>
          <w:rFonts w:ascii="Arial" w:hAnsi="Arial" w:cs="Arial"/>
          <w:lang w:val="en-US"/>
        </w:rPr>
        <w:t xml:space="preserve">and/or </w:t>
      </w:r>
      <w:r>
        <w:rPr>
          <w:rFonts w:ascii="Arial" w:hAnsi="Arial" w:cs="Arial"/>
          <w:lang w:val="en-US"/>
        </w:rPr>
        <w:t xml:space="preserve">yielded to significant pressures to raise public wages in response to increases in the cost </w:t>
      </w:r>
      <w:r w:rsidR="00902F6A">
        <w:rPr>
          <w:rFonts w:ascii="Arial" w:hAnsi="Arial" w:cs="Arial"/>
          <w:lang w:val="en-US"/>
        </w:rPr>
        <w:t xml:space="preserve">of </w:t>
      </w:r>
      <w:r>
        <w:rPr>
          <w:rFonts w:ascii="Arial" w:hAnsi="Arial" w:cs="Arial"/>
          <w:lang w:val="en-US"/>
        </w:rPr>
        <w:t>living triggered by higher food and fuel prices.</w:t>
      </w:r>
      <w:r w:rsidR="00902F6A">
        <w:rPr>
          <w:rFonts w:ascii="Arial" w:hAnsi="Arial" w:cs="Arial"/>
          <w:lang w:val="en-US"/>
        </w:rPr>
        <w:t xml:space="preserve"> IMF projections point to inflation staying above the pre pandemic level over the immediate two-year forecast horizon. </w:t>
      </w:r>
      <w:r w:rsidR="00B05196">
        <w:rPr>
          <w:rFonts w:ascii="Arial" w:hAnsi="Arial" w:cs="Arial"/>
          <w:bCs/>
          <w:lang w:val="en-US"/>
        </w:rPr>
        <w:t>O</w:t>
      </w:r>
      <w:r w:rsidR="003E7F90">
        <w:rPr>
          <w:rFonts w:ascii="Arial" w:hAnsi="Arial" w:cs="Arial"/>
          <w:bCs/>
          <w:lang w:val="en-US"/>
        </w:rPr>
        <w:t>utput levels</w:t>
      </w:r>
      <w:r w:rsidR="00B05196">
        <w:rPr>
          <w:rFonts w:ascii="Arial" w:hAnsi="Arial" w:cs="Arial"/>
          <w:bCs/>
          <w:lang w:val="en-US"/>
        </w:rPr>
        <w:t>, at the same time</w:t>
      </w:r>
      <w:r w:rsidR="00D450CC">
        <w:rPr>
          <w:rFonts w:ascii="Arial" w:hAnsi="Arial" w:cs="Arial"/>
          <w:bCs/>
          <w:lang w:val="en-US"/>
        </w:rPr>
        <w:t xml:space="preserve">, </w:t>
      </w:r>
      <w:r w:rsidR="003E7F90">
        <w:rPr>
          <w:rFonts w:ascii="Arial" w:hAnsi="Arial" w:cs="Arial"/>
          <w:bCs/>
          <w:lang w:val="en-US"/>
        </w:rPr>
        <w:t xml:space="preserve">remain </w:t>
      </w:r>
      <w:r w:rsidR="00DF1D6F">
        <w:rPr>
          <w:rFonts w:ascii="Arial" w:hAnsi="Arial" w:cs="Arial"/>
          <w:bCs/>
          <w:lang w:val="en-US"/>
        </w:rPr>
        <w:t xml:space="preserve">depressed, and is projected to decline steadily </w:t>
      </w:r>
      <w:r w:rsidR="00DF1D6F">
        <w:rPr>
          <w:rFonts w:ascii="Arial" w:hAnsi="Arial" w:cs="Arial"/>
          <w:lang w:val="en-US"/>
        </w:rPr>
        <w:t>for a second year in a row</w:t>
      </w:r>
      <w:r w:rsidR="00DF1D6F">
        <w:rPr>
          <w:rFonts w:ascii="Arial" w:hAnsi="Arial" w:cs="Arial"/>
          <w:bCs/>
          <w:lang w:val="en-US"/>
        </w:rPr>
        <w:t xml:space="preserve"> to 2023 at levels </w:t>
      </w:r>
      <w:r w:rsidR="003E7F90">
        <w:rPr>
          <w:rFonts w:ascii="Arial" w:hAnsi="Arial" w:cs="Arial"/>
          <w:bCs/>
          <w:lang w:val="en-US"/>
        </w:rPr>
        <w:t>below the pre-pandemic level</w:t>
      </w:r>
      <w:r w:rsidR="00B05196">
        <w:rPr>
          <w:rFonts w:ascii="Arial" w:hAnsi="Arial" w:cs="Arial"/>
          <w:bCs/>
          <w:lang w:val="en-US"/>
        </w:rPr>
        <w:t xml:space="preserve">. </w:t>
      </w:r>
      <w:r w:rsidR="00C12D84">
        <w:rPr>
          <w:rFonts w:ascii="Arial" w:hAnsi="Arial" w:cs="Arial"/>
          <w:bCs/>
          <w:lang w:val="en-US"/>
        </w:rPr>
        <w:t xml:space="preserve">Deterioration of business and consumer confidence could depress economic activities in key advanced economies and spill over to economies of the region through lower demand for imports and lower commodity prices. </w:t>
      </w:r>
      <w:r w:rsidR="00B05196">
        <w:rPr>
          <w:rFonts w:ascii="Arial" w:hAnsi="Arial" w:cs="Arial"/>
          <w:bCs/>
          <w:lang w:val="en-US"/>
        </w:rPr>
        <w:t xml:space="preserve">Regional Central Banks, thus, face </w:t>
      </w:r>
      <w:r w:rsidR="00B05196" w:rsidRPr="00B05196">
        <w:rPr>
          <w:rFonts w:ascii="Arial" w:hAnsi="Arial" w:cs="Arial"/>
          <w:lang w:val="en-US"/>
        </w:rPr>
        <w:t xml:space="preserve">a difficult balancing act between curbing inflation and supporting </w:t>
      </w:r>
      <w:r w:rsidR="00DF1D6F">
        <w:rPr>
          <w:rFonts w:ascii="Arial" w:hAnsi="Arial" w:cs="Arial"/>
          <w:lang w:val="en-US"/>
        </w:rPr>
        <w:t xml:space="preserve">the still-fragile </w:t>
      </w:r>
      <w:r w:rsidR="00B05196">
        <w:rPr>
          <w:rFonts w:ascii="Arial" w:hAnsi="Arial" w:cs="Arial"/>
          <w:lang w:val="en-US"/>
        </w:rPr>
        <w:t xml:space="preserve">recovery. </w:t>
      </w:r>
      <w:r w:rsidR="00185C0D">
        <w:rPr>
          <w:rFonts w:ascii="Arial" w:hAnsi="Arial" w:cs="Arial"/>
          <w:bCs/>
          <w:lang w:val="en-US"/>
        </w:rPr>
        <w:t xml:space="preserve">To reign on persistently high </w:t>
      </w:r>
      <w:r w:rsidR="006E6892">
        <w:rPr>
          <w:rFonts w:ascii="Arial" w:hAnsi="Arial" w:cs="Arial"/>
          <w:bCs/>
          <w:lang w:val="en-US"/>
        </w:rPr>
        <w:t>inflation, exchange</w:t>
      </w:r>
      <w:r w:rsidR="00185C0D">
        <w:rPr>
          <w:rFonts w:ascii="Arial" w:hAnsi="Arial" w:cs="Arial"/>
          <w:bCs/>
          <w:lang w:val="en-US"/>
        </w:rPr>
        <w:t xml:space="preserve"> rate pressures and to anchor inflation expectations, almost all central banks in the region tightened policy rates through the end of 2022. But this will continue to pose a challenge to a quick recovery in most countries in the region.  </w:t>
      </w:r>
    </w:p>
    <w:p w14:paraId="15FFB4BC" w14:textId="43BA56C3" w:rsidR="001D18DC" w:rsidRDefault="001D18DC" w:rsidP="00D25303">
      <w:pPr>
        <w:spacing w:after="120"/>
        <w:jc w:val="both"/>
        <w:rPr>
          <w:rFonts w:ascii="Arial" w:hAnsi="Arial" w:cs="Arial"/>
          <w:bCs/>
          <w:lang w:val="en-US"/>
        </w:rPr>
      </w:pPr>
      <w:r>
        <w:rPr>
          <w:rFonts w:ascii="Arial" w:hAnsi="Arial" w:cs="Arial"/>
          <w:bCs/>
          <w:lang w:val="en-US"/>
        </w:rPr>
        <w:t xml:space="preserve">Going forward, monetary policy needs to be increasingly data-dependent depending on country specific circumstances. Jurisdictions experiencing persistently high inflation may consider to continue the tightening cycle in a decisive manner to de-anchor the second-round effects. Elsewhere, tight policy stance may be continued but at a pace consistent with the level and trajectory of inflation and in close coordination with fiscal policy, in part, to tame, where they exist, domestic demand pressures; while where inflation has peaked but still relatively elevated, monetary policy need to be steered cautiously until inflation is firmly on a downward trajectory and projections have returned to the central bank medium term target. </w:t>
      </w:r>
    </w:p>
    <w:p w14:paraId="32F4AA1C" w14:textId="1246BB94" w:rsidR="00484552" w:rsidRDefault="007B1F7D" w:rsidP="00D25303">
      <w:pPr>
        <w:spacing w:after="120"/>
        <w:jc w:val="both"/>
        <w:rPr>
          <w:rFonts w:ascii="Arial" w:hAnsi="Arial" w:cs="Arial"/>
          <w:bCs/>
          <w:lang w:val="en-US"/>
        </w:rPr>
      </w:pPr>
      <w:r>
        <w:rPr>
          <w:rFonts w:ascii="Arial" w:hAnsi="Arial" w:cs="Arial"/>
          <w:bCs/>
          <w:lang w:val="en-US"/>
        </w:rPr>
        <w:t xml:space="preserve">For </w:t>
      </w:r>
      <w:r w:rsidR="00AA4168" w:rsidRPr="00D86652">
        <w:rPr>
          <w:rFonts w:ascii="Arial" w:hAnsi="Arial" w:cs="Arial"/>
          <w:bCs/>
          <w:lang w:val="en-US"/>
        </w:rPr>
        <w:t xml:space="preserve">countries in the region </w:t>
      </w:r>
      <w:r w:rsidR="00B46D84">
        <w:rPr>
          <w:rFonts w:ascii="Arial" w:hAnsi="Arial" w:cs="Arial"/>
          <w:bCs/>
          <w:lang w:val="en-US"/>
        </w:rPr>
        <w:t xml:space="preserve">under a flexible exchange rate and </w:t>
      </w:r>
      <w:r w:rsidR="00643353">
        <w:rPr>
          <w:rFonts w:ascii="Arial" w:hAnsi="Arial" w:cs="Arial"/>
          <w:bCs/>
          <w:lang w:val="en-US"/>
        </w:rPr>
        <w:t>where inflation was aggravated by the exchange rate passthrough</w:t>
      </w:r>
      <w:r w:rsidR="005773F3">
        <w:rPr>
          <w:rFonts w:ascii="Arial" w:hAnsi="Arial" w:cs="Arial"/>
          <w:bCs/>
          <w:lang w:val="en-US"/>
        </w:rPr>
        <w:t xml:space="preserve"> and/ or fiscal imbalances</w:t>
      </w:r>
      <w:r w:rsidR="00643353">
        <w:rPr>
          <w:rFonts w:ascii="Arial" w:hAnsi="Arial" w:cs="Arial"/>
          <w:bCs/>
          <w:lang w:val="en-US"/>
        </w:rPr>
        <w:t xml:space="preserve">, </w:t>
      </w:r>
      <w:r w:rsidR="00E46BAA">
        <w:rPr>
          <w:rFonts w:ascii="Arial" w:hAnsi="Arial" w:cs="Arial"/>
          <w:bCs/>
          <w:lang w:val="en-US"/>
        </w:rPr>
        <w:t xml:space="preserve">the </w:t>
      </w:r>
      <w:r w:rsidR="00643353">
        <w:rPr>
          <w:rFonts w:ascii="Arial" w:hAnsi="Arial" w:cs="Arial"/>
          <w:bCs/>
          <w:lang w:val="en-US"/>
        </w:rPr>
        <w:t>tight</w:t>
      </w:r>
      <w:r w:rsidR="00E46BAA">
        <w:rPr>
          <w:rFonts w:ascii="Arial" w:hAnsi="Arial" w:cs="Arial"/>
          <w:bCs/>
          <w:lang w:val="en-US"/>
        </w:rPr>
        <w:t xml:space="preserve"> </w:t>
      </w:r>
      <w:r w:rsidR="00643353">
        <w:rPr>
          <w:rFonts w:ascii="Arial" w:hAnsi="Arial" w:cs="Arial"/>
          <w:bCs/>
          <w:lang w:val="en-US"/>
        </w:rPr>
        <w:t xml:space="preserve">monetary policy stance </w:t>
      </w:r>
      <w:r w:rsidR="00E46BAA">
        <w:rPr>
          <w:rFonts w:ascii="Arial" w:hAnsi="Arial" w:cs="Arial"/>
          <w:bCs/>
          <w:lang w:val="en-US"/>
        </w:rPr>
        <w:t xml:space="preserve">and fiscal consolidation </w:t>
      </w:r>
      <w:r w:rsidR="00643353">
        <w:rPr>
          <w:rFonts w:ascii="Arial" w:hAnsi="Arial" w:cs="Arial"/>
          <w:bCs/>
          <w:lang w:val="en-US"/>
        </w:rPr>
        <w:t>helped to alleviate the pressure by keeping inflation expectations in check and stem capital outflows while attracting inflows</w:t>
      </w:r>
      <w:r w:rsidR="00E46BAA">
        <w:rPr>
          <w:rFonts w:ascii="Arial" w:hAnsi="Arial" w:cs="Arial"/>
          <w:bCs/>
          <w:lang w:val="en-US"/>
        </w:rPr>
        <w:t>, and rein in external imbalances and contain the increases in debt related to exchange rate depreciation</w:t>
      </w:r>
      <w:r w:rsidR="00643353">
        <w:rPr>
          <w:rFonts w:ascii="Arial" w:hAnsi="Arial" w:cs="Arial"/>
          <w:bCs/>
          <w:lang w:val="en-US"/>
        </w:rPr>
        <w:t>.</w:t>
      </w:r>
      <w:r w:rsidR="00AA4168" w:rsidRPr="00D86652">
        <w:rPr>
          <w:rFonts w:ascii="Arial" w:hAnsi="Arial" w:cs="Arial"/>
          <w:bCs/>
          <w:lang w:val="en-US"/>
        </w:rPr>
        <w:t xml:space="preserve"> </w:t>
      </w:r>
      <w:r w:rsidR="00C12D84">
        <w:rPr>
          <w:rFonts w:ascii="Arial" w:hAnsi="Arial" w:cs="Arial"/>
          <w:bCs/>
          <w:lang w:val="en-US"/>
        </w:rPr>
        <w:t>M</w:t>
      </w:r>
      <w:r w:rsidR="00484552">
        <w:rPr>
          <w:rFonts w:ascii="Arial" w:hAnsi="Arial" w:cs="Arial"/>
          <w:bCs/>
          <w:lang w:val="en-US"/>
        </w:rPr>
        <w:t xml:space="preserve">ost countries </w:t>
      </w:r>
      <w:r w:rsidR="00C12D84">
        <w:rPr>
          <w:rFonts w:ascii="Arial" w:hAnsi="Arial" w:cs="Arial"/>
          <w:bCs/>
          <w:lang w:val="en-US"/>
        </w:rPr>
        <w:t xml:space="preserve">are </w:t>
      </w:r>
      <w:r w:rsidR="00484552">
        <w:rPr>
          <w:rFonts w:ascii="Arial" w:hAnsi="Arial" w:cs="Arial"/>
          <w:bCs/>
          <w:lang w:val="en-US"/>
        </w:rPr>
        <w:t xml:space="preserve">going through high inflation and also </w:t>
      </w:r>
      <w:r w:rsidR="00361480">
        <w:rPr>
          <w:rFonts w:ascii="Arial" w:hAnsi="Arial" w:cs="Arial"/>
          <w:bCs/>
          <w:lang w:val="en-US"/>
        </w:rPr>
        <w:t xml:space="preserve">experiencing </w:t>
      </w:r>
      <w:r w:rsidR="00484552">
        <w:rPr>
          <w:rFonts w:ascii="Arial" w:hAnsi="Arial" w:cs="Arial"/>
          <w:bCs/>
          <w:lang w:val="en-US"/>
        </w:rPr>
        <w:t>depreciation of local currencies</w:t>
      </w:r>
      <w:r w:rsidR="00361480">
        <w:rPr>
          <w:rFonts w:ascii="Arial" w:hAnsi="Arial" w:cs="Arial"/>
          <w:bCs/>
          <w:lang w:val="en-US"/>
        </w:rPr>
        <w:t xml:space="preserve"> against the US dollar attributed to a high dependency on imports that are invoiced using US dollars. Currency depreciation is also contributi</w:t>
      </w:r>
      <w:r w:rsidR="00C84A19">
        <w:rPr>
          <w:rFonts w:ascii="Arial" w:hAnsi="Arial" w:cs="Arial"/>
          <w:bCs/>
          <w:lang w:val="en-US"/>
        </w:rPr>
        <w:t>ng</w:t>
      </w:r>
      <w:r w:rsidR="00361480">
        <w:rPr>
          <w:rFonts w:ascii="Arial" w:hAnsi="Arial" w:cs="Arial"/>
          <w:bCs/>
          <w:lang w:val="en-US"/>
        </w:rPr>
        <w:t xml:space="preserve"> to higher general government debt especially because most external debt is dollar denominated.  </w:t>
      </w:r>
    </w:p>
    <w:p w14:paraId="036BCCF8" w14:textId="7EDCF057" w:rsidR="009F261D" w:rsidRDefault="00807181" w:rsidP="00D25303">
      <w:pPr>
        <w:spacing w:after="120"/>
        <w:jc w:val="both"/>
        <w:rPr>
          <w:rFonts w:ascii="Arial" w:hAnsi="Arial" w:cs="Arial"/>
          <w:bCs/>
          <w:lang w:val="en-US"/>
        </w:rPr>
      </w:pPr>
      <w:r>
        <w:rPr>
          <w:rFonts w:ascii="Arial" w:hAnsi="Arial" w:cs="Arial"/>
          <w:bCs/>
          <w:lang w:val="en-US"/>
        </w:rPr>
        <w:t>Continuation of f</w:t>
      </w:r>
      <w:r w:rsidR="00AA4168" w:rsidRPr="00D86652">
        <w:rPr>
          <w:rFonts w:ascii="Arial" w:hAnsi="Arial" w:cs="Arial"/>
          <w:bCs/>
          <w:lang w:val="en-US"/>
        </w:rPr>
        <w:t xml:space="preserve">oreign exchange interventions to </w:t>
      </w:r>
      <w:r w:rsidR="00861114" w:rsidRPr="00D86652">
        <w:rPr>
          <w:rFonts w:ascii="Arial" w:hAnsi="Arial" w:cs="Arial"/>
          <w:bCs/>
          <w:lang w:val="en-US"/>
        </w:rPr>
        <w:t>smooth exchange rate volatility</w:t>
      </w:r>
      <w:r>
        <w:rPr>
          <w:rFonts w:ascii="Arial" w:hAnsi="Arial" w:cs="Arial"/>
          <w:bCs/>
          <w:lang w:val="en-US"/>
        </w:rPr>
        <w:t xml:space="preserve">, </w:t>
      </w:r>
      <w:r w:rsidR="00A03A60">
        <w:rPr>
          <w:rFonts w:ascii="Arial" w:hAnsi="Arial" w:cs="Arial"/>
          <w:bCs/>
          <w:lang w:val="en-US"/>
        </w:rPr>
        <w:t>provided reserve</w:t>
      </w:r>
      <w:r>
        <w:rPr>
          <w:rFonts w:ascii="Arial" w:hAnsi="Arial" w:cs="Arial"/>
          <w:bCs/>
          <w:lang w:val="en-US"/>
        </w:rPr>
        <w:t xml:space="preserve"> buffers permit, </w:t>
      </w:r>
      <w:r w:rsidR="00861114" w:rsidRPr="00D86652">
        <w:rPr>
          <w:rFonts w:ascii="Arial" w:hAnsi="Arial" w:cs="Arial"/>
          <w:bCs/>
          <w:lang w:val="en-US"/>
        </w:rPr>
        <w:t xml:space="preserve">will be </w:t>
      </w:r>
      <w:r w:rsidR="00E46BAA">
        <w:rPr>
          <w:rFonts w:ascii="Arial" w:hAnsi="Arial" w:cs="Arial"/>
          <w:bCs/>
          <w:lang w:val="en-US"/>
        </w:rPr>
        <w:t xml:space="preserve">particularly </w:t>
      </w:r>
      <w:r w:rsidR="00861114" w:rsidRPr="00D86652">
        <w:rPr>
          <w:rFonts w:ascii="Arial" w:hAnsi="Arial" w:cs="Arial"/>
          <w:bCs/>
          <w:lang w:val="en-US"/>
        </w:rPr>
        <w:t>desirable for countries with shallow foreign exchange markets and large un</w:t>
      </w:r>
      <w:r w:rsidR="00D940CC" w:rsidRPr="00D86652">
        <w:rPr>
          <w:rFonts w:ascii="Arial" w:hAnsi="Arial" w:cs="Arial"/>
          <w:bCs/>
          <w:lang w:val="en-US"/>
        </w:rPr>
        <w:t>-</w:t>
      </w:r>
      <w:r w:rsidR="00861114" w:rsidRPr="00D86652">
        <w:rPr>
          <w:rFonts w:ascii="Arial" w:hAnsi="Arial" w:cs="Arial"/>
          <w:bCs/>
          <w:lang w:val="en-US"/>
        </w:rPr>
        <w:t>hedged balance sheet exposures.</w:t>
      </w:r>
      <w:r w:rsidR="00807A7A">
        <w:rPr>
          <w:rFonts w:ascii="Arial" w:hAnsi="Arial" w:cs="Arial"/>
          <w:bCs/>
          <w:lang w:val="en-US"/>
        </w:rPr>
        <w:t xml:space="preserve"> </w:t>
      </w:r>
      <w:r w:rsidR="00391358" w:rsidRPr="00807A7A">
        <w:rPr>
          <w:rFonts w:ascii="Arial" w:hAnsi="Arial" w:cs="Arial"/>
          <w:bCs/>
          <w:lang w:val="en-US"/>
        </w:rPr>
        <w:t xml:space="preserve">Therefore, monetary tightening may be needed in some countries to support exchange rates, </w:t>
      </w:r>
      <w:bookmarkStart w:id="18" w:name="_Hlk114060976"/>
      <w:r w:rsidR="00391358" w:rsidRPr="00807A7A">
        <w:rPr>
          <w:rFonts w:ascii="Arial" w:hAnsi="Arial" w:cs="Arial"/>
          <w:bCs/>
          <w:lang w:val="en-US"/>
        </w:rPr>
        <w:t>even in the face of weak economic activity</w:t>
      </w:r>
      <w:bookmarkEnd w:id="18"/>
      <w:r w:rsidR="00391358" w:rsidRPr="00807A7A">
        <w:rPr>
          <w:rFonts w:ascii="Arial" w:hAnsi="Arial" w:cs="Arial"/>
          <w:bCs/>
          <w:lang w:val="en-US"/>
        </w:rPr>
        <w:t>.</w:t>
      </w:r>
      <w:r w:rsidR="009F261D">
        <w:rPr>
          <w:rFonts w:ascii="Arial" w:hAnsi="Arial" w:cs="Arial"/>
          <w:bCs/>
          <w:lang w:val="en-US"/>
        </w:rPr>
        <w:t xml:space="preserve"> On the other hand, currency peggers generally experienced moderate inflation, and will need to keep a close watch on inflation trajectory while keeping policy rates in lock with the anchor policy rate to preserve external stability and foreign exchange reserves. </w:t>
      </w:r>
    </w:p>
    <w:p w14:paraId="373AF07F" w14:textId="7F087B36" w:rsidR="00391358" w:rsidRDefault="009F261D" w:rsidP="00D25303">
      <w:pPr>
        <w:spacing w:after="120"/>
        <w:jc w:val="both"/>
        <w:rPr>
          <w:rFonts w:ascii="Arial" w:hAnsi="Arial" w:cs="Arial"/>
          <w:bCs/>
          <w:lang w:val="en-US"/>
        </w:rPr>
      </w:pPr>
      <w:r>
        <w:rPr>
          <w:rFonts w:ascii="Arial" w:hAnsi="Arial" w:cs="Arial"/>
          <w:bCs/>
          <w:lang w:val="en-US"/>
        </w:rPr>
        <w:t xml:space="preserve"> </w:t>
      </w:r>
    </w:p>
    <w:p w14:paraId="677856BD" w14:textId="77777777" w:rsidR="002C63B7" w:rsidRPr="00324D6F" w:rsidRDefault="002C63B7" w:rsidP="00D25303">
      <w:pPr>
        <w:pStyle w:val="Heading1"/>
        <w:numPr>
          <w:ilvl w:val="0"/>
          <w:numId w:val="10"/>
        </w:numPr>
        <w:spacing w:before="0" w:after="120" w:line="276" w:lineRule="auto"/>
        <w:ind w:left="0"/>
        <w:rPr>
          <w:rFonts w:ascii="Arial" w:hAnsi="Arial" w:cs="Arial"/>
          <w:sz w:val="22"/>
          <w:szCs w:val="22"/>
        </w:rPr>
      </w:pPr>
      <w:bookmarkStart w:id="19" w:name="_Toc505769857"/>
      <w:bookmarkStart w:id="20" w:name="_Toc70943218"/>
      <w:r w:rsidRPr="00324D6F">
        <w:rPr>
          <w:rFonts w:ascii="Arial" w:hAnsi="Arial" w:cs="Arial"/>
          <w:sz w:val="22"/>
          <w:szCs w:val="22"/>
        </w:rPr>
        <w:lastRenderedPageBreak/>
        <w:t>Overall Fiscal Balance Including Grants</w:t>
      </w:r>
      <w:bookmarkEnd w:id="19"/>
      <w:bookmarkEnd w:id="20"/>
    </w:p>
    <w:p w14:paraId="3E81D52F" w14:textId="11A77128" w:rsidR="009B0C71" w:rsidRDefault="009B0C71" w:rsidP="00D25303">
      <w:pPr>
        <w:spacing w:after="120"/>
        <w:jc w:val="both"/>
        <w:rPr>
          <w:rFonts w:ascii="Arial" w:hAnsi="Arial" w:cs="Arial"/>
          <w:lang w:val="en-US"/>
        </w:rPr>
      </w:pPr>
      <w:r w:rsidRPr="007F5D9A">
        <w:rPr>
          <w:rFonts w:ascii="Arial" w:hAnsi="Arial" w:cs="Arial"/>
          <w:lang w:val="en-US"/>
        </w:rPr>
        <w:t xml:space="preserve">After a significant deterioration </w:t>
      </w:r>
      <w:r w:rsidR="00C84A19">
        <w:rPr>
          <w:rFonts w:ascii="Arial" w:hAnsi="Arial" w:cs="Arial"/>
          <w:lang w:val="en-US"/>
        </w:rPr>
        <w:t xml:space="preserve">of the </w:t>
      </w:r>
      <w:r w:rsidR="00C84A19" w:rsidRPr="002D3CE1">
        <w:rPr>
          <w:rFonts w:ascii="Arial" w:hAnsi="Arial" w:cs="Arial"/>
          <w:lang w:val="en-US"/>
        </w:rPr>
        <w:t xml:space="preserve">region’s average fiscal deficit including grants as a percentage of GDP </w:t>
      </w:r>
      <w:r w:rsidR="00C84A19">
        <w:rPr>
          <w:rFonts w:ascii="Arial" w:hAnsi="Arial" w:cs="Arial"/>
          <w:lang w:val="en-US"/>
        </w:rPr>
        <w:t xml:space="preserve">of 5.4% </w:t>
      </w:r>
      <w:r w:rsidRPr="007F5D9A">
        <w:rPr>
          <w:rFonts w:ascii="Arial" w:hAnsi="Arial" w:cs="Arial"/>
          <w:lang w:val="en-US"/>
        </w:rPr>
        <w:t>in 2020</w:t>
      </w:r>
      <w:r>
        <w:rPr>
          <w:rFonts w:ascii="Arial" w:hAnsi="Arial" w:cs="Arial"/>
          <w:lang w:val="en-US"/>
        </w:rPr>
        <w:t>, t</w:t>
      </w:r>
      <w:r w:rsidR="002C63B7" w:rsidRPr="002D3CE1">
        <w:rPr>
          <w:rFonts w:ascii="Arial" w:hAnsi="Arial" w:cs="Arial"/>
          <w:lang w:val="en-US"/>
        </w:rPr>
        <w:t xml:space="preserve">he </w:t>
      </w:r>
      <w:r w:rsidR="00C84A19">
        <w:rPr>
          <w:rFonts w:ascii="Arial" w:hAnsi="Arial" w:cs="Arial"/>
          <w:lang w:val="en-US"/>
        </w:rPr>
        <w:t xml:space="preserve">deficit </w:t>
      </w:r>
      <w:r>
        <w:rPr>
          <w:rFonts w:ascii="Arial" w:hAnsi="Arial" w:cs="Arial"/>
          <w:lang w:val="en-US"/>
        </w:rPr>
        <w:t xml:space="preserve">started to decline to </w:t>
      </w:r>
      <w:r w:rsidR="00C84A19">
        <w:rPr>
          <w:rFonts w:ascii="Arial" w:hAnsi="Arial" w:cs="Arial"/>
          <w:lang w:val="en-US"/>
        </w:rPr>
        <w:t xml:space="preserve">4.7% and </w:t>
      </w:r>
      <w:r w:rsidR="00B868B1">
        <w:rPr>
          <w:rFonts w:ascii="Arial" w:hAnsi="Arial" w:cs="Arial"/>
          <w:lang w:val="en-US"/>
        </w:rPr>
        <w:t>4.9</w:t>
      </w:r>
      <w:r w:rsidR="002C63B7" w:rsidRPr="002D3CE1">
        <w:rPr>
          <w:rFonts w:ascii="Arial" w:hAnsi="Arial" w:cs="Arial"/>
          <w:lang w:val="en-US"/>
        </w:rPr>
        <w:t xml:space="preserve">% </w:t>
      </w:r>
      <w:r w:rsidR="00C84A19">
        <w:rPr>
          <w:rFonts w:ascii="Arial" w:hAnsi="Arial" w:cs="Arial"/>
          <w:lang w:val="en-US"/>
        </w:rPr>
        <w:t>in 2021 and</w:t>
      </w:r>
      <w:r w:rsidR="002C63B7" w:rsidRPr="002D3CE1">
        <w:rPr>
          <w:rFonts w:ascii="Arial" w:hAnsi="Arial" w:cs="Arial"/>
          <w:lang w:val="en-US"/>
        </w:rPr>
        <w:t xml:space="preserve"> 20</w:t>
      </w:r>
      <w:r w:rsidR="002C63B7">
        <w:rPr>
          <w:rFonts w:ascii="Arial" w:hAnsi="Arial" w:cs="Arial"/>
          <w:lang w:val="en-US"/>
        </w:rPr>
        <w:t>2</w:t>
      </w:r>
      <w:r w:rsidR="00B868B1">
        <w:rPr>
          <w:rFonts w:ascii="Arial" w:hAnsi="Arial" w:cs="Arial"/>
          <w:lang w:val="en-US"/>
        </w:rPr>
        <w:t>2</w:t>
      </w:r>
      <w:r w:rsidR="00C84A19">
        <w:rPr>
          <w:rFonts w:ascii="Arial" w:hAnsi="Arial" w:cs="Arial"/>
          <w:lang w:val="en-US"/>
        </w:rPr>
        <w:t xml:space="preserve"> </w:t>
      </w:r>
      <w:r w:rsidR="00845B70">
        <w:rPr>
          <w:rFonts w:ascii="Arial" w:hAnsi="Arial" w:cs="Arial"/>
          <w:lang w:val="en-US"/>
        </w:rPr>
        <w:t>respectively,</w:t>
      </w:r>
      <w:r w:rsidR="00D43663">
        <w:rPr>
          <w:rFonts w:ascii="Arial" w:hAnsi="Arial" w:cs="Arial"/>
          <w:lang w:val="en-US"/>
        </w:rPr>
        <w:t xml:space="preserve"> with a projected consolidation </w:t>
      </w:r>
      <w:r w:rsidR="007668F7">
        <w:rPr>
          <w:rFonts w:ascii="Arial" w:hAnsi="Arial" w:cs="Arial"/>
          <w:lang w:val="en-US"/>
        </w:rPr>
        <w:t xml:space="preserve">to a deficit of </w:t>
      </w:r>
      <w:r w:rsidR="00D43663">
        <w:rPr>
          <w:rFonts w:ascii="Arial" w:hAnsi="Arial" w:cs="Arial"/>
          <w:lang w:val="en-US"/>
        </w:rPr>
        <w:t xml:space="preserve">3.9% in 2023 </w:t>
      </w:r>
      <w:r w:rsidR="002C63B7" w:rsidRPr="002D3CE1">
        <w:rPr>
          <w:rFonts w:ascii="Arial" w:hAnsi="Arial" w:cs="Arial"/>
          <w:lang w:val="en-US"/>
        </w:rPr>
        <w:t>(</w:t>
      </w:r>
      <w:r w:rsidR="00452B8B">
        <w:rPr>
          <w:rFonts w:ascii="Arial" w:hAnsi="Arial" w:cs="Arial"/>
          <w:b/>
          <w:lang w:val="en-US"/>
        </w:rPr>
        <w:t>Figure 3</w:t>
      </w:r>
      <w:r w:rsidR="002C63B7" w:rsidRPr="002D3CE1">
        <w:rPr>
          <w:rFonts w:ascii="Arial" w:hAnsi="Arial" w:cs="Arial"/>
          <w:lang w:val="en-US"/>
        </w:rPr>
        <w:t>)</w:t>
      </w:r>
      <w:r w:rsidR="00D43663">
        <w:rPr>
          <w:rFonts w:ascii="Arial" w:hAnsi="Arial" w:cs="Arial"/>
          <w:lang w:val="en-US"/>
        </w:rPr>
        <w:t xml:space="preserve">. The deterioration </w:t>
      </w:r>
      <w:r w:rsidR="00C67278">
        <w:rPr>
          <w:rFonts w:ascii="Arial" w:hAnsi="Arial" w:cs="Arial"/>
          <w:lang w:val="en-US"/>
        </w:rPr>
        <w:t xml:space="preserve">reflects a combination of higher tax revenues and </w:t>
      </w:r>
      <w:r w:rsidR="00D43663">
        <w:rPr>
          <w:rFonts w:ascii="Arial" w:hAnsi="Arial" w:cs="Arial"/>
          <w:lang w:val="en-US"/>
        </w:rPr>
        <w:t xml:space="preserve">fiscal adjustment </w:t>
      </w:r>
      <w:r w:rsidR="00586A14">
        <w:rPr>
          <w:rFonts w:ascii="Arial" w:hAnsi="Arial" w:cs="Arial"/>
          <w:lang w:val="en-US"/>
        </w:rPr>
        <w:t>as</w:t>
      </w:r>
      <w:r w:rsidR="00D43663">
        <w:rPr>
          <w:rFonts w:ascii="Arial" w:hAnsi="Arial" w:cs="Arial"/>
          <w:lang w:val="en-US"/>
        </w:rPr>
        <w:t xml:space="preserve"> countries</w:t>
      </w:r>
      <w:r w:rsidR="005113D6">
        <w:rPr>
          <w:rFonts w:ascii="Arial" w:hAnsi="Arial" w:cs="Arial"/>
          <w:lang w:val="en-US"/>
        </w:rPr>
        <w:t xml:space="preserve"> continue to consolidate their public finances </w:t>
      </w:r>
      <w:r w:rsidR="00586A14">
        <w:rPr>
          <w:rFonts w:ascii="Arial" w:hAnsi="Arial" w:cs="Arial"/>
          <w:lang w:val="en-US"/>
        </w:rPr>
        <w:t>to preserve fiscal sustainability</w:t>
      </w:r>
      <w:r w:rsidR="00B371CC">
        <w:rPr>
          <w:rFonts w:ascii="Arial" w:hAnsi="Arial" w:cs="Arial"/>
          <w:lang w:val="en-US"/>
        </w:rPr>
        <w:t xml:space="preserve"> (particularly those with elevated debt vulnerabilities) </w:t>
      </w:r>
      <w:r w:rsidR="00E90E9D">
        <w:rPr>
          <w:rFonts w:ascii="Arial" w:hAnsi="Arial" w:cs="Arial"/>
          <w:lang w:val="en-US"/>
        </w:rPr>
        <w:t xml:space="preserve">on the path to </w:t>
      </w:r>
      <w:r w:rsidR="005113D6">
        <w:rPr>
          <w:rFonts w:ascii="Arial" w:hAnsi="Arial" w:cs="Arial"/>
          <w:lang w:val="en-US"/>
        </w:rPr>
        <w:t xml:space="preserve">a credible and transparent medium-term fiscal policy framework. </w:t>
      </w:r>
    </w:p>
    <w:p w14:paraId="1DEF6224" w14:textId="77777777" w:rsidR="008679C2" w:rsidRDefault="008679C2" w:rsidP="00E93D6B">
      <w:pPr>
        <w:pStyle w:val="Caption"/>
        <w:spacing w:after="0"/>
        <w:rPr>
          <w:rFonts w:ascii="Arial" w:hAnsi="Arial" w:cs="Arial"/>
          <w:i w:val="0"/>
          <w:iCs w:val="0"/>
          <w:color w:val="auto"/>
          <w:sz w:val="22"/>
          <w:szCs w:val="22"/>
          <w:lang w:val="en-US"/>
        </w:rPr>
      </w:pPr>
    </w:p>
    <w:p w14:paraId="7300CE9B" w14:textId="35AF3775" w:rsidR="00E93D6B" w:rsidRDefault="00E93D6B" w:rsidP="00E93D6B">
      <w:pPr>
        <w:pStyle w:val="Caption"/>
        <w:spacing w:after="0"/>
        <w:rPr>
          <w:rFonts w:ascii="Arial" w:hAnsi="Arial" w:cs="Arial"/>
          <w:i w:val="0"/>
          <w:iCs w:val="0"/>
          <w:color w:val="auto"/>
          <w:sz w:val="22"/>
          <w:szCs w:val="22"/>
          <w:lang w:val="en-US"/>
        </w:rPr>
      </w:pPr>
      <w:r w:rsidRPr="001A7612">
        <w:rPr>
          <w:rFonts w:ascii="Arial" w:hAnsi="Arial" w:cs="Arial"/>
          <w:i w:val="0"/>
          <w:iCs w:val="0"/>
          <w:color w:val="auto"/>
          <w:sz w:val="22"/>
          <w:szCs w:val="22"/>
          <w:lang w:val="en-US"/>
        </w:rPr>
        <w:t xml:space="preserve">Figure </w:t>
      </w:r>
      <w:r w:rsidRPr="001A7612">
        <w:rPr>
          <w:rFonts w:ascii="Arial" w:hAnsi="Arial" w:cs="Arial"/>
          <w:i w:val="0"/>
          <w:iCs w:val="0"/>
          <w:color w:val="auto"/>
          <w:sz w:val="22"/>
          <w:szCs w:val="22"/>
          <w:lang w:val="en-US"/>
        </w:rPr>
        <w:fldChar w:fldCharType="begin"/>
      </w:r>
      <w:r w:rsidRPr="001A7612">
        <w:rPr>
          <w:rFonts w:ascii="Arial" w:hAnsi="Arial" w:cs="Arial"/>
          <w:i w:val="0"/>
          <w:iCs w:val="0"/>
          <w:color w:val="auto"/>
          <w:sz w:val="22"/>
          <w:szCs w:val="22"/>
          <w:lang w:val="en-US"/>
        </w:rPr>
        <w:instrText xml:space="preserve"> SEQ Figure \* ARABIC </w:instrText>
      </w:r>
      <w:r w:rsidRPr="001A7612">
        <w:rPr>
          <w:rFonts w:ascii="Arial" w:hAnsi="Arial" w:cs="Arial"/>
          <w:i w:val="0"/>
          <w:iCs w:val="0"/>
          <w:color w:val="auto"/>
          <w:sz w:val="22"/>
          <w:szCs w:val="22"/>
          <w:lang w:val="en-US"/>
        </w:rPr>
        <w:fldChar w:fldCharType="separate"/>
      </w:r>
      <w:r w:rsidR="00C67278">
        <w:rPr>
          <w:rFonts w:ascii="Arial" w:hAnsi="Arial" w:cs="Arial"/>
          <w:i w:val="0"/>
          <w:iCs w:val="0"/>
          <w:noProof/>
          <w:color w:val="auto"/>
          <w:sz w:val="22"/>
          <w:szCs w:val="22"/>
          <w:lang w:val="en-US"/>
        </w:rPr>
        <w:t>3</w:t>
      </w:r>
      <w:r w:rsidRPr="001A7612">
        <w:rPr>
          <w:rFonts w:ascii="Arial" w:hAnsi="Arial" w:cs="Arial"/>
          <w:i w:val="0"/>
          <w:iCs w:val="0"/>
          <w:color w:val="auto"/>
          <w:sz w:val="22"/>
          <w:szCs w:val="22"/>
          <w:lang w:val="en-US"/>
        </w:rPr>
        <w:fldChar w:fldCharType="end"/>
      </w:r>
      <w:r w:rsidRPr="001A7612">
        <w:rPr>
          <w:rFonts w:ascii="Arial" w:hAnsi="Arial" w:cs="Arial"/>
          <w:i w:val="0"/>
          <w:iCs w:val="0"/>
          <w:color w:val="auto"/>
          <w:sz w:val="22"/>
          <w:szCs w:val="22"/>
          <w:lang w:val="en-US"/>
        </w:rPr>
        <w:t xml:space="preserve">: COMESA </w:t>
      </w:r>
      <w:r>
        <w:rPr>
          <w:rFonts w:ascii="Arial" w:hAnsi="Arial" w:cs="Arial"/>
          <w:i w:val="0"/>
          <w:iCs w:val="0"/>
          <w:color w:val="auto"/>
          <w:sz w:val="22"/>
          <w:szCs w:val="22"/>
          <w:lang w:val="en-US"/>
        </w:rPr>
        <w:t>a</w:t>
      </w:r>
      <w:r w:rsidRPr="001A7612">
        <w:rPr>
          <w:rFonts w:ascii="Arial" w:hAnsi="Arial" w:cs="Arial"/>
          <w:i w:val="0"/>
          <w:iCs w:val="0"/>
          <w:color w:val="auto"/>
          <w:sz w:val="22"/>
          <w:szCs w:val="22"/>
          <w:lang w:val="en-US"/>
        </w:rPr>
        <w:t>verage Overall Fiscal Balance (</w:t>
      </w:r>
      <w:r>
        <w:rPr>
          <w:rFonts w:ascii="Arial" w:hAnsi="Arial" w:cs="Arial"/>
          <w:i w:val="0"/>
          <w:iCs w:val="0"/>
          <w:color w:val="auto"/>
          <w:sz w:val="22"/>
          <w:szCs w:val="22"/>
          <w:lang w:val="en-US"/>
        </w:rPr>
        <w:t>i</w:t>
      </w:r>
      <w:r w:rsidRPr="001A7612">
        <w:rPr>
          <w:rFonts w:ascii="Arial" w:hAnsi="Arial" w:cs="Arial"/>
          <w:i w:val="0"/>
          <w:iCs w:val="0"/>
          <w:color w:val="auto"/>
          <w:sz w:val="22"/>
          <w:szCs w:val="22"/>
          <w:lang w:val="en-US"/>
        </w:rPr>
        <w:t>ncl</w:t>
      </w:r>
      <w:r>
        <w:rPr>
          <w:rFonts w:ascii="Arial" w:hAnsi="Arial" w:cs="Arial"/>
          <w:i w:val="0"/>
          <w:iCs w:val="0"/>
          <w:color w:val="auto"/>
          <w:sz w:val="22"/>
          <w:szCs w:val="22"/>
          <w:lang w:val="en-US"/>
        </w:rPr>
        <w:t xml:space="preserve">. </w:t>
      </w:r>
      <w:r w:rsidRPr="001A7612">
        <w:rPr>
          <w:rFonts w:ascii="Arial" w:hAnsi="Arial" w:cs="Arial"/>
          <w:i w:val="0"/>
          <w:iCs w:val="0"/>
          <w:color w:val="auto"/>
          <w:sz w:val="22"/>
          <w:szCs w:val="22"/>
          <w:lang w:val="en-US"/>
        </w:rPr>
        <w:t>Grants</w:t>
      </w:r>
      <w:r>
        <w:rPr>
          <w:rFonts w:ascii="Arial" w:hAnsi="Arial" w:cs="Arial"/>
          <w:i w:val="0"/>
          <w:iCs w:val="0"/>
          <w:color w:val="auto"/>
          <w:sz w:val="22"/>
          <w:szCs w:val="22"/>
          <w:lang w:val="en-US"/>
        </w:rPr>
        <w:t>,</w:t>
      </w:r>
      <w:r w:rsidRPr="001A7612">
        <w:rPr>
          <w:rFonts w:ascii="Arial" w:hAnsi="Arial" w:cs="Arial"/>
          <w:i w:val="0"/>
          <w:iCs w:val="0"/>
          <w:color w:val="auto"/>
          <w:sz w:val="22"/>
          <w:szCs w:val="22"/>
          <w:lang w:val="en-US"/>
        </w:rPr>
        <w:t xml:space="preserve"> % of GDP)</w:t>
      </w:r>
    </w:p>
    <w:p w14:paraId="0C3BEC5A" w14:textId="5986AB48" w:rsidR="00792737" w:rsidRDefault="00792737" w:rsidP="00792737">
      <w:pPr>
        <w:spacing w:after="0" w:line="240" w:lineRule="auto"/>
        <w:rPr>
          <w:lang w:val="en-US"/>
        </w:rPr>
      </w:pPr>
      <w:r>
        <w:rPr>
          <w:noProof/>
        </w:rPr>
        <w:drawing>
          <wp:inline distT="0" distB="0" distL="0" distR="0" wp14:anchorId="1E65C698" wp14:editId="6867CB37">
            <wp:extent cx="5955527" cy="2743200"/>
            <wp:effectExtent l="0" t="0" r="7620" b="0"/>
            <wp:docPr id="5" name="Chart 5">
              <a:extLst xmlns:a="http://schemas.openxmlformats.org/drawingml/2006/main">
                <a:ext uri="{FF2B5EF4-FFF2-40B4-BE49-F238E27FC236}">
                  <a16:creationId xmlns:a16="http://schemas.microsoft.com/office/drawing/2014/main" id="{81608A5D-5EBB-2B54-05C7-BCB945E2301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6A7587C0" w14:textId="0285DC2D" w:rsidR="00E93D6B" w:rsidRPr="004C6F8E" w:rsidRDefault="00E93D6B" w:rsidP="00792737">
      <w:pPr>
        <w:pStyle w:val="BodyText2"/>
        <w:rPr>
          <w:rFonts w:eastAsia="Calibri" w:cs="Arial"/>
          <w:b w:val="0"/>
          <w:sz w:val="20"/>
          <w:szCs w:val="20"/>
          <w:lang w:val="en-GB" w:bidi="fr-FR"/>
        </w:rPr>
      </w:pPr>
      <w:r w:rsidRPr="004C6F8E">
        <w:rPr>
          <w:rFonts w:eastAsia="Calibri" w:cs="Arial"/>
          <w:b w:val="0"/>
          <w:sz w:val="20"/>
          <w:szCs w:val="20"/>
          <w:lang w:val="en-GB" w:bidi="fr-FR"/>
        </w:rPr>
        <w:t>Source: IMF REO Sub Saharan Africa April 202</w:t>
      </w:r>
      <w:r w:rsidR="00792737">
        <w:rPr>
          <w:rFonts w:eastAsia="Calibri" w:cs="Arial"/>
          <w:b w:val="0"/>
          <w:sz w:val="20"/>
          <w:szCs w:val="20"/>
          <w:lang w:val="en-GB" w:bidi="fr-FR"/>
        </w:rPr>
        <w:t>3</w:t>
      </w:r>
    </w:p>
    <w:p w14:paraId="31AA22F1" w14:textId="4F62DB4C" w:rsidR="00E93D6B" w:rsidRDefault="00E93D6B" w:rsidP="00716532">
      <w:pPr>
        <w:pStyle w:val="BodyText"/>
        <w:jc w:val="both"/>
        <w:rPr>
          <w:rFonts w:ascii="Arial" w:hAnsi="Arial" w:cs="Arial"/>
          <w:lang w:val="en-US"/>
        </w:rPr>
      </w:pPr>
    </w:p>
    <w:p w14:paraId="344C38B4" w14:textId="3C1788AD" w:rsidR="008679C2" w:rsidRDefault="008679C2" w:rsidP="008679C2">
      <w:pPr>
        <w:pStyle w:val="BodyText"/>
        <w:jc w:val="both"/>
        <w:rPr>
          <w:rFonts w:ascii="Arial" w:hAnsi="Arial" w:cs="Arial"/>
          <w:lang w:val="en-US"/>
        </w:rPr>
      </w:pPr>
      <w:r>
        <w:rPr>
          <w:rFonts w:ascii="Arial" w:hAnsi="Arial" w:cs="Arial"/>
          <w:lang w:val="en-US"/>
        </w:rPr>
        <w:t>Relative to 2021, the deficit in 2022, narrowed in 12 COMESA countries</w:t>
      </w:r>
      <w:r w:rsidRPr="002C20DD">
        <w:rPr>
          <w:rFonts w:ascii="Arial" w:hAnsi="Arial" w:cs="Arial"/>
          <w:lang w:val="en-US"/>
        </w:rPr>
        <w:t>—</w:t>
      </w:r>
      <w:r>
        <w:rPr>
          <w:rFonts w:ascii="Arial" w:hAnsi="Arial" w:cs="Arial"/>
          <w:lang w:val="en-US"/>
        </w:rPr>
        <w:t>Djibouti, Egypt, Eritrea, Kenya, Mauritius, Rwanda, Seychelles, Somalia, Tunisia, Uganda, Zambia and Zimbabwe, but deteriorated somewhat elsewhere. Moreover, as per IMF REO data, 10 COMESA countries</w:t>
      </w:r>
      <w:r w:rsidRPr="0061145A">
        <w:rPr>
          <w:rFonts w:ascii="Arial" w:hAnsi="Arial" w:cs="Arial"/>
          <w:lang w:val="en-US"/>
        </w:rPr>
        <w:t>, namely</w:t>
      </w:r>
      <w:r>
        <w:rPr>
          <w:rFonts w:ascii="Arial" w:hAnsi="Arial" w:cs="Arial"/>
          <w:lang w:val="en-US"/>
        </w:rPr>
        <w:t xml:space="preserve">, Comoros, DRC, Djibouti, Eritrea, Ethiopia, Mauritius, Seychelles, Somalia, Sudan and Zimbabwe </w:t>
      </w:r>
      <w:r w:rsidRPr="0061145A">
        <w:rPr>
          <w:rFonts w:ascii="Arial" w:hAnsi="Arial" w:cs="Arial"/>
          <w:lang w:val="en-US"/>
        </w:rPr>
        <w:t xml:space="preserve">achieved the COMESA macroeconomic Convergence Criteria of overall budget deficit/GDP ratio (including grants) of 5%. </w:t>
      </w:r>
    </w:p>
    <w:p w14:paraId="4AFB22C8" w14:textId="77777777" w:rsidR="00E66874" w:rsidRPr="009C3356" w:rsidRDefault="00E66874" w:rsidP="00D25303">
      <w:pPr>
        <w:pStyle w:val="Heading1"/>
        <w:numPr>
          <w:ilvl w:val="0"/>
          <w:numId w:val="10"/>
        </w:numPr>
        <w:spacing w:before="0" w:after="120" w:line="276" w:lineRule="auto"/>
        <w:ind w:left="0"/>
        <w:rPr>
          <w:rFonts w:ascii="Arial" w:hAnsi="Arial" w:cs="Arial"/>
          <w:sz w:val="22"/>
          <w:szCs w:val="22"/>
        </w:rPr>
      </w:pPr>
      <w:bookmarkStart w:id="21" w:name="_Toc70943219"/>
      <w:r w:rsidRPr="009C3356">
        <w:rPr>
          <w:rFonts w:ascii="Arial" w:hAnsi="Arial" w:cs="Arial"/>
          <w:sz w:val="22"/>
          <w:szCs w:val="22"/>
        </w:rPr>
        <w:t>Government Debt</w:t>
      </w:r>
      <w:bookmarkEnd w:id="21"/>
    </w:p>
    <w:p w14:paraId="4A79937B" w14:textId="17009B14" w:rsidR="00541331" w:rsidRDefault="00BC4368" w:rsidP="00D25303">
      <w:pPr>
        <w:pStyle w:val="BodyText"/>
        <w:jc w:val="both"/>
        <w:rPr>
          <w:rFonts w:ascii="Arial" w:hAnsi="Arial" w:cs="Arial"/>
          <w:lang w:val="en-US"/>
        </w:rPr>
      </w:pPr>
      <w:r w:rsidRPr="00B23ECD">
        <w:rPr>
          <w:rFonts w:ascii="Arial" w:hAnsi="Arial" w:cs="Arial"/>
          <w:lang w:val="en-US"/>
        </w:rPr>
        <w:t>T</w:t>
      </w:r>
      <w:r w:rsidR="00E66874" w:rsidRPr="00B23ECD">
        <w:rPr>
          <w:rFonts w:ascii="Arial" w:hAnsi="Arial" w:cs="Arial"/>
          <w:lang w:val="en-US"/>
        </w:rPr>
        <w:t xml:space="preserve">he region’s average Government debt as a share of GDP </w:t>
      </w:r>
      <w:r w:rsidR="002F0ADB">
        <w:rPr>
          <w:rFonts w:ascii="Arial" w:hAnsi="Arial" w:cs="Arial"/>
          <w:lang w:val="en-US"/>
        </w:rPr>
        <w:t xml:space="preserve">increased, albeit marginally to 57.6% </w:t>
      </w:r>
      <w:bookmarkStart w:id="22" w:name="_Hlk87523840"/>
      <w:r w:rsidR="002F0ADB">
        <w:rPr>
          <w:rFonts w:ascii="Arial" w:hAnsi="Arial" w:cs="Arial"/>
          <w:lang w:val="en-US"/>
        </w:rPr>
        <w:t>i</w:t>
      </w:r>
      <w:r w:rsidR="00E66874" w:rsidRPr="00B23ECD">
        <w:rPr>
          <w:rFonts w:ascii="Arial" w:hAnsi="Arial" w:cs="Arial"/>
          <w:lang w:val="en-US"/>
        </w:rPr>
        <w:t>n 202</w:t>
      </w:r>
      <w:r w:rsidR="002F0ADB">
        <w:rPr>
          <w:rFonts w:ascii="Arial" w:hAnsi="Arial" w:cs="Arial"/>
          <w:lang w:val="en-US"/>
        </w:rPr>
        <w:t>2</w:t>
      </w:r>
      <w:r w:rsidR="00E66874" w:rsidRPr="00B23ECD">
        <w:rPr>
          <w:rFonts w:ascii="Arial" w:hAnsi="Arial" w:cs="Arial"/>
          <w:lang w:val="en-US"/>
        </w:rPr>
        <w:t xml:space="preserve">, compared to </w:t>
      </w:r>
      <w:r w:rsidR="002F0ADB">
        <w:rPr>
          <w:rFonts w:ascii="Arial" w:hAnsi="Arial" w:cs="Arial"/>
          <w:lang w:val="en-US"/>
        </w:rPr>
        <w:t>57.4</w:t>
      </w:r>
      <w:r w:rsidR="00E66874" w:rsidRPr="00B23ECD">
        <w:rPr>
          <w:rFonts w:ascii="Arial" w:hAnsi="Arial" w:cs="Arial"/>
          <w:lang w:val="en-US"/>
        </w:rPr>
        <w:t>% in 20</w:t>
      </w:r>
      <w:r w:rsidRPr="00B23ECD">
        <w:rPr>
          <w:rFonts w:ascii="Arial" w:hAnsi="Arial" w:cs="Arial"/>
          <w:lang w:val="en-US"/>
        </w:rPr>
        <w:t>2</w:t>
      </w:r>
      <w:r w:rsidR="002F0ADB">
        <w:rPr>
          <w:rFonts w:ascii="Arial" w:hAnsi="Arial" w:cs="Arial"/>
          <w:lang w:val="en-US"/>
        </w:rPr>
        <w:t>1</w:t>
      </w:r>
      <w:r w:rsidR="00BB4688">
        <w:rPr>
          <w:rFonts w:ascii="Arial" w:hAnsi="Arial" w:cs="Arial"/>
          <w:lang w:val="en-US"/>
        </w:rPr>
        <w:t xml:space="preserve"> </w:t>
      </w:r>
      <w:r w:rsidR="00BB4688" w:rsidRPr="00B23ECD">
        <w:rPr>
          <w:rFonts w:ascii="Arial" w:hAnsi="Arial" w:cs="Arial"/>
          <w:lang w:val="en-US"/>
        </w:rPr>
        <w:t>(</w:t>
      </w:r>
      <w:r w:rsidR="008679C2">
        <w:rPr>
          <w:rFonts w:ascii="Arial" w:hAnsi="Arial" w:cs="Arial"/>
          <w:b/>
          <w:bCs/>
          <w:lang w:val="en-US"/>
        </w:rPr>
        <w:t>Figure</w:t>
      </w:r>
      <w:r w:rsidR="00BB4688">
        <w:rPr>
          <w:rFonts w:ascii="Arial" w:hAnsi="Arial" w:cs="Arial"/>
          <w:lang w:val="en-US"/>
        </w:rPr>
        <w:t xml:space="preserve"> </w:t>
      </w:r>
      <w:r w:rsidR="00BB4688" w:rsidRPr="00B23ECD">
        <w:rPr>
          <w:rFonts w:ascii="Arial" w:hAnsi="Arial" w:cs="Arial"/>
          <w:b/>
          <w:bCs/>
          <w:lang w:val="en-US"/>
        </w:rPr>
        <w:t>4</w:t>
      </w:r>
      <w:r w:rsidR="00BB4688" w:rsidRPr="00B23ECD">
        <w:rPr>
          <w:rFonts w:ascii="Arial" w:hAnsi="Arial" w:cs="Arial"/>
          <w:lang w:val="en-US"/>
        </w:rPr>
        <w:t>)</w:t>
      </w:r>
      <w:r w:rsidR="00BB4688">
        <w:rPr>
          <w:rFonts w:ascii="Arial" w:hAnsi="Arial" w:cs="Arial"/>
          <w:lang w:val="en-US"/>
        </w:rPr>
        <w:t xml:space="preserve">, </w:t>
      </w:r>
      <w:r w:rsidR="002F0ADB">
        <w:rPr>
          <w:rFonts w:ascii="Arial" w:hAnsi="Arial" w:cs="Arial"/>
          <w:lang w:val="en-US"/>
        </w:rPr>
        <w:t xml:space="preserve">reflecting </w:t>
      </w:r>
      <w:r w:rsidR="005E3412">
        <w:rPr>
          <w:rFonts w:ascii="Arial" w:hAnsi="Arial" w:cs="Arial"/>
          <w:lang w:val="en-US"/>
        </w:rPr>
        <w:t xml:space="preserve">a </w:t>
      </w:r>
      <w:r w:rsidR="002F0ADB">
        <w:rPr>
          <w:rFonts w:ascii="Arial" w:hAnsi="Arial" w:cs="Arial"/>
          <w:lang w:val="en-US"/>
        </w:rPr>
        <w:t xml:space="preserve">combination of still-large overall fiscal deficits </w:t>
      </w:r>
      <w:r w:rsidR="005E3412">
        <w:rPr>
          <w:rFonts w:ascii="Arial" w:hAnsi="Arial" w:cs="Arial"/>
          <w:lang w:val="en-US"/>
        </w:rPr>
        <w:t xml:space="preserve">because of overlapping crises, slower growth </w:t>
      </w:r>
      <w:r w:rsidR="002F0ADB">
        <w:rPr>
          <w:rFonts w:ascii="Arial" w:hAnsi="Arial" w:cs="Arial"/>
          <w:lang w:val="en-US"/>
        </w:rPr>
        <w:t>and the impact of exchange rate depreciation</w:t>
      </w:r>
      <w:r w:rsidR="005E3412">
        <w:rPr>
          <w:rFonts w:ascii="Arial" w:hAnsi="Arial" w:cs="Arial"/>
          <w:lang w:val="en-US"/>
        </w:rPr>
        <w:t>s. As per the IMF REO data, a</w:t>
      </w:r>
      <w:r w:rsidR="00B23ECD">
        <w:rPr>
          <w:rFonts w:ascii="Arial" w:hAnsi="Arial" w:cs="Arial"/>
          <w:lang w:val="en-US"/>
        </w:rPr>
        <w:t>bout</w:t>
      </w:r>
      <w:r w:rsidR="00D04AB9" w:rsidRPr="00B23ECD">
        <w:rPr>
          <w:rFonts w:ascii="Arial" w:hAnsi="Arial" w:cs="Arial"/>
          <w:lang w:val="en-US"/>
        </w:rPr>
        <w:t xml:space="preserve"> </w:t>
      </w:r>
      <w:r w:rsidR="005E3412">
        <w:rPr>
          <w:rFonts w:ascii="Arial" w:hAnsi="Arial" w:cs="Arial"/>
          <w:lang w:val="en-US"/>
        </w:rPr>
        <w:t xml:space="preserve">nine </w:t>
      </w:r>
      <w:r w:rsidR="00B23ECD" w:rsidRPr="00B23ECD">
        <w:rPr>
          <w:rFonts w:ascii="Arial" w:hAnsi="Arial" w:cs="Arial"/>
          <w:lang w:val="en-US"/>
        </w:rPr>
        <w:t>(0</w:t>
      </w:r>
      <w:r w:rsidR="005E3412">
        <w:rPr>
          <w:rFonts w:ascii="Arial" w:hAnsi="Arial" w:cs="Arial"/>
          <w:lang w:val="en-US"/>
        </w:rPr>
        <w:t>9</w:t>
      </w:r>
      <w:r w:rsidR="00B23ECD" w:rsidRPr="00B23ECD">
        <w:rPr>
          <w:rFonts w:ascii="Arial" w:hAnsi="Arial" w:cs="Arial"/>
          <w:lang w:val="en-US"/>
        </w:rPr>
        <w:t>) COMESA member countries</w:t>
      </w:r>
      <w:r w:rsidR="005E3412">
        <w:rPr>
          <w:rFonts w:ascii="Arial" w:hAnsi="Arial" w:cs="Arial"/>
          <w:lang w:val="en-US"/>
        </w:rPr>
        <w:t>, including</w:t>
      </w:r>
      <w:r w:rsidR="00B23ECD" w:rsidRPr="00B23ECD">
        <w:rPr>
          <w:rFonts w:ascii="Arial" w:hAnsi="Arial" w:cs="Arial"/>
          <w:lang w:val="en-US"/>
        </w:rPr>
        <w:t xml:space="preserve">, </w:t>
      </w:r>
      <w:r w:rsidR="005E3412">
        <w:rPr>
          <w:rFonts w:ascii="Arial" w:hAnsi="Arial" w:cs="Arial"/>
          <w:lang w:val="en-US"/>
        </w:rPr>
        <w:t xml:space="preserve">Comoros, </w:t>
      </w:r>
      <w:r w:rsidR="00B23ECD" w:rsidRPr="00B23ECD">
        <w:rPr>
          <w:rFonts w:ascii="Arial" w:hAnsi="Arial" w:cs="Arial"/>
          <w:lang w:val="en-US"/>
        </w:rPr>
        <w:t xml:space="preserve">Democratic Republic of Congo, Djibouti, </w:t>
      </w:r>
      <w:r w:rsidR="005E3412">
        <w:rPr>
          <w:rFonts w:ascii="Arial" w:hAnsi="Arial" w:cs="Arial"/>
          <w:lang w:val="en-US"/>
        </w:rPr>
        <w:t xml:space="preserve">Ethiopia, Eswatini, Madagascar, Rwanda, Seychelles </w:t>
      </w:r>
      <w:r w:rsidR="00B23ECD" w:rsidRPr="00B23ECD">
        <w:rPr>
          <w:rFonts w:ascii="Arial" w:hAnsi="Arial" w:cs="Arial"/>
          <w:lang w:val="en-US"/>
        </w:rPr>
        <w:t>and Uganda</w:t>
      </w:r>
      <w:r w:rsidR="00B23ECD">
        <w:rPr>
          <w:rFonts w:ascii="Arial" w:hAnsi="Arial" w:cs="Arial"/>
          <w:lang w:val="en-US"/>
        </w:rPr>
        <w:t xml:space="preserve">, </w:t>
      </w:r>
      <w:r w:rsidR="00B23ECD" w:rsidRPr="00B23ECD">
        <w:rPr>
          <w:rFonts w:ascii="Arial" w:hAnsi="Arial" w:cs="Arial"/>
          <w:lang w:val="en-US"/>
        </w:rPr>
        <w:t xml:space="preserve">achieved the revised COMESA secondary Convergence Indicator of total government debt as a share of GDP of less than 65%. </w:t>
      </w:r>
    </w:p>
    <w:p w14:paraId="2961A859" w14:textId="7CFD2F2A" w:rsidR="007668F7" w:rsidRDefault="007668F7" w:rsidP="00D25303">
      <w:pPr>
        <w:pStyle w:val="BodyText"/>
        <w:jc w:val="both"/>
        <w:rPr>
          <w:rFonts w:ascii="Arial" w:hAnsi="Arial" w:cs="Arial"/>
          <w:lang w:val="en-US"/>
        </w:rPr>
      </w:pPr>
    </w:p>
    <w:p w14:paraId="18075E50" w14:textId="5B0E0D63" w:rsidR="00A03A60" w:rsidRDefault="00A03A60" w:rsidP="00D25303">
      <w:pPr>
        <w:pStyle w:val="BodyText"/>
        <w:jc w:val="both"/>
        <w:rPr>
          <w:rFonts w:ascii="Arial" w:hAnsi="Arial" w:cs="Arial"/>
          <w:lang w:val="en-US"/>
        </w:rPr>
      </w:pPr>
    </w:p>
    <w:p w14:paraId="45248880" w14:textId="1EA6BD65" w:rsidR="00A03A60" w:rsidRDefault="00A03A60" w:rsidP="00D25303">
      <w:pPr>
        <w:pStyle w:val="BodyText"/>
        <w:jc w:val="both"/>
        <w:rPr>
          <w:rFonts w:ascii="Arial" w:hAnsi="Arial" w:cs="Arial"/>
          <w:lang w:val="en-US"/>
        </w:rPr>
      </w:pPr>
    </w:p>
    <w:p w14:paraId="7DBC9E09" w14:textId="77777777" w:rsidR="00A03A60" w:rsidRDefault="00A03A60" w:rsidP="00D25303">
      <w:pPr>
        <w:pStyle w:val="BodyText"/>
        <w:jc w:val="both"/>
        <w:rPr>
          <w:rFonts w:ascii="Arial" w:hAnsi="Arial" w:cs="Arial"/>
          <w:lang w:val="en-US"/>
        </w:rPr>
      </w:pPr>
    </w:p>
    <w:bookmarkEnd w:id="22"/>
    <w:p w14:paraId="18CDDFF1" w14:textId="7A66BEDC" w:rsidR="00E66874" w:rsidRDefault="00E66874" w:rsidP="00E66874">
      <w:pPr>
        <w:pStyle w:val="Caption"/>
        <w:spacing w:after="0"/>
        <w:rPr>
          <w:rFonts w:ascii="Arial" w:hAnsi="Arial" w:cs="Arial"/>
          <w:i w:val="0"/>
          <w:iCs w:val="0"/>
          <w:color w:val="auto"/>
          <w:sz w:val="22"/>
          <w:szCs w:val="22"/>
          <w:lang w:val="en-US"/>
        </w:rPr>
      </w:pPr>
      <w:r w:rsidRPr="00E66874">
        <w:rPr>
          <w:rFonts w:ascii="Arial" w:hAnsi="Arial" w:cs="Arial"/>
          <w:i w:val="0"/>
          <w:iCs w:val="0"/>
          <w:color w:val="auto"/>
          <w:sz w:val="22"/>
          <w:szCs w:val="22"/>
          <w:lang w:val="en-US"/>
        </w:rPr>
        <w:lastRenderedPageBreak/>
        <w:t xml:space="preserve">Figure </w:t>
      </w:r>
      <w:r w:rsidRPr="00E66874">
        <w:rPr>
          <w:rFonts w:ascii="Arial" w:hAnsi="Arial" w:cs="Arial"/>
          <w:i w:val="0"/>
          <w:iCs w:val="0"/>
          <w:color w:val="auto"/>
          <w:sz w:val="22"/>
          <w:szCs w:val="22"/>
          <w:lang w:val="en-US"/>
        </w:rPr>
        <w:fldChar w:fldCharType="begin"/>
      </w:r>
      <w:r w:rsidRPr="00E66874">
        <w:rPr>
          <w:rFonts w:ascii="Arial" w:hAnsi="Arial" w:cs="Arial"/>
          <w:i w:val="0"/>
          <w:iCs w:val="0"/>
          <w:color w:val="auto"/>
          <w:sz w:val="22"/>
          <w:szCs w:val="22"/>
          <w:lang w:val="en-US"/>
        </w:rPr>
        <w:instrText xml:space="preserve"> SEQ Figure \* ARABIC </w:instrText>
      </w:r>
      <w:r w:rsidRPr="00E66874">
        <w:rPr>
          <w:rFonts w:ascii="Arial" w:hAnsi="Arial" w:cs="Arial"/>
          <w:i w:val="0"/>
          <w:iCs w:val="0"/>
          <w:color w:val="auto"/>
          <w:sz w:val="22"/>
          <w:szCs w:val="22"/>
          <w:lang w:val="en-US"/>
        </w:rPr>
        <w:fldChar w:fldCharType="separate"/>
      </w:r>
      <w:r w:rsidR="00C67278">
        <w:rPr>
          <w:rFonts w:ascii="Arial" w:hAnsi="Arial" w:cs="Arial"/>
          <w:i w:val="0"/>
          <w:iCs w:val="0"/>
          <w:noProof/>
          <w:color w:val="auto"/>
          <w:sz w:val="22"/>
          <w:szCs w:val="22"/>
          <w:lang w:val="en-US"/>
        </w:rPr>
        <w:t>4</w:t>
      </w:r>
      <w:r w:rsidRPr="00E66874">
        <w:rPr>
          <w:rFonts w:ascii="Arial" w:hAnsi="Arial" w:cs="Arial"/>
          <w:i w:val="0"/>
          <w:iCs w:val="0"/>
          <w:color w:val="auto"/>
          <w:sz w:val="22"/>
          <w:szCs w:val="22"/>
          <w:lang w:val="en-US"/>
        </w:rPr>
        <w:fldChar w:fldCharType="end"/>
      </w:r>
      <w:r w:rsidRPr="00E66874">
        <w:rPr>
          <w:rFonts w:ascii="Arial" w:hAnsi="Arial" w:cs="Arial"/>
          <w:i w:val="0"/>
          <w:iCs w:val="0"/>
          <w:color w:val="auto"/>
          <w:sz w:val="22"/>
          <w:szCs w:val="22"/>
          <w:lang w:val="en-US"/>
        </w:rPr>
        <w:t>: COMESA average Government Debt (% of GDP).</w:t>
      </w:r>
    </w:p>
    <w:p w14:paraId="3392AB39" w14:textId="622CD602" w:rsidR="003756B5" w:rsidRDefault="003756B5" w:rsidP="003756B5">
      <w:pPr>
        <w:spacing w:after="0" w:line="240" w:lineRule="auto"/>
        <w:rPr>
          <w:lang w:val="en-US"/>
        </w:rPr>
      </w:pPr>
      <w:r>
        <w:rPr>
          <w:noProof/>
        </w:rPr>
        <w:drawing>
          <wp:inline distT="0" distB="0" distL="0" distR="0" wp14:anchorId="6D1B00A9" wp14:editId="0E7743F9">
            <wp:extent cx="5928360" cy="2608580"/>
            <wp:effectExtent l="0" t="0" r="15240" b="1270"/>
            <wp:docPr id="6" name="Chart 6">
              <a:extLst xmlns:a="http://schemas.openxmlformats.org/drawingml/2006/main">
                <a:ext uri="{FF2B5EF4-FFF2-40B4-BE49-F238E27FC236}">
                  <a16:creationId xmlns:a16="http://schemas.microsoft.com/office/drawing/2014/main" id="{64384F81-AC56-6436-B64B-63810CF2993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0B7AAE82" w14:textId="3BA122AD" w:rsidR="00E66874" w:rsidRDefault="00E66874" w:rsidP="003756B5">
      <w:pPr>
        <w:pStyle w:val="BodyText2"/>
        <w:rPr>
          <w:rFonts w:eastAsia="Calibri" w:cs="Arial"/>
          <w:b w:val="0"/>
          <w:sz w:val="20"/>
          <w:szCs w:val="20"/>
          <w:lang w:val="en-GB" w:bidi="fr-FR"/>
        </w:rPr>
      </w:pPr>
      <w:r w:rsidRPr="004C6F8E">
        <w:rPr>
          <w:rFonts w:eastAsia="Calibri" w:cs="Arial"/>
          <w:b w:val="0"/>
          <w:sz w:val="20"/>
          <w:szCs w:val="20"/>
          <w:lang w:val="en-GB" w:bidi="fr-FR"/>
        </w:rPr>
        <w:t>Source: IMF REO Sub Saharan Africa April 202</w:t>
      </w:r>
      <w:r w:rsidR="007800F6">
        <w:rPr>
          <w:rFonts w:eastAsia="Calibri" w:cs="Arial"/>
          <w:b w:val="0"/>
          <w:sz w:val="20"/>
          <w:szCs w:val="20"/>
          <w:lang w:val="en-GB" w:bidi="fr-FR"/>
        </w:rPr>
        <w:t>3</w:t>
      </w:r>
    </w:p>
    <w:p w14:paraId="200D650E" w14:textId="77777777" w:rsidR="00185C0D" w:rsidRDefault="00185C0D" w:rsidP="008679C2">
      <w:pPr>
        <w:spacing w:after="120"/>
        <w:jc w:val="both"/>
        <w:rPr>
          <w:rFonts w:ascii="Arial" w:hAnsi="Arial" w:cs="Arial"/>
          <w:lang w:val="en-US"/>
        </w:rPr>
      </w:pPr>
    </w:p>
    <w:p w14:paraId="1CA25F3F" w14:textId="3FF79E0C" w:rsidR="008679C2" w:rsidRDefault="008679C2" w:rsidP="008679C2">
      <w:pPr>
        <w:spacing w:after="120"/>
        <w:jc w:val="both"/>
        <w:rPr>
          <w:rFonts w:ascii="Arial" w:hAnsi="Arial" w:cs="Arial"/>
          <w:lang w:val="en-US"/>
        </w:rPr>
      </w:pPr>
      <w:r>
        <w:rPr>
          <w:rFonts w:ascii="Arial" w:hAnsi="Arial" w:cs="Arial"/>
          <w:lang w:val="en-US"/>
        </w:rPr>
        <w:t>Going forward, average region go</w:t>
      </w:r>
      <w:r w:rsidRPr="009C3356">
        <w:rPr>
          <w:rFonts w:ascii="Arial" w:hAnsi="Arial" w:cs="Arial"/>
          <w:lang w:val="en-US"/>
        </w:rPr>
        <w:t xml:space="preserve">vernment debt </w:t>
      </w:r>
      <w:r>
        <w:rPr>
          <w:rFonts w:ascii="Arial" w:hAnsi="Arial" w:cs="Arial"/>
          <w:lang w:val="en-US"/>
        </w:rPr>
        <w:t xml:space="preserve">to </w:t>
      </w:r>
      <w:r w:rsidRPr="009C3356">
        <w:rPr>
          <w:rFonts w:ascii="Arial" w:hAnsi="Arial" w:cs="Arial"/>
          <w:lang w:val="en-US"/>
        </w:rPr>
        <w:t>GDP</w:t>
      </w:r>
      <w:r>
        <w:rPr>
          <w:rFonts w:ascii="Arial" w:hAnsi="Arial" w:cs="Arial"/>
          <w:lang w:val="en-US"/>
        </w:rPr>
        <w:t xml:space="preserve"> ratio</w:t>
      </w:r>
      <w:r w:rsidRPr="009C3356">
        <w:rPr>
          <w:rFonts w:ascii="Arial" w:hAnsi="Arial" w:cs="Arial"/>
          <w:lang w:val="en-US"/>
        </w:rPr>
        <w:t xml:space="preserve"> is projected to </w:t>
      </w:r>
      <w:r>
        <w:rPr>
          <w:rFonts w:ascii="Arial" w:hAnsi="Arial" w:cs="Arial"/>
          <w:lang w:val="en-US"/>
        </w:rPr>
        <w:t xml:space="preserve">ease </w:t>
      </w:r>
      <w:r w:rsidRPr="009C3356">
        <w:rPr>
          <w:rFonts w:ascii="Arial" w:hAnsi="Arial" w:cs="Arial"/>
          <w:lang w:val="en-US"/>
        </w:rPr>
        <w:t xml:space="preserve">to </w:t>
      </w:r>
      <w:r>
        <w:rPr>
          <w:rFonts w:ascii="Arial" w:hAnsi="Arial" w:cs="Arial"/>
          <w:lang w:val="en-US"/>
        </w:rPr>
        <w:t xml:space="preserve">52.7% </w:t>
      </w:r>
      <w:r w:rsidRPr="009C3356">
        <w:rPr>
          <w:rFonts w:ascii="Arial" w:hAnsi="Arial" w:cs="Arial"/>
          <w:lang w:val="en-US"/>
        </w:rPr>
        <w:t>in 202</w:t>
      </w:r>
      <w:r>
        <w:rPr>
          <w:rFonts w:ascii="Arial" w:hAnsi="Arial" w:cs="Arial"/>
          <w:lang w:val="en-US"/>
        </w:rPr>
        <w:t>3 and further to 48.9% in 2024, on account of increased efforts to boost revenue mobilization, and increasing and prioritizing the efficiency of spending, including phasing out of untargeted subsidies. The challenging external financing conditions, marked, in part, by declining aid flows disproportionately adds to the funding squeeze particularly for countries relying primarily on foreign aid for financing their development needs. C</w:t>
      </w:r>
      <w:r w:rsidRPr="00795AEC">
        <w:rPr>
          <w:rFonts w:ascii="Arial" w:hAnsi="Arial" w:cs="Arial"/>
          <w:lang w:val="en-US"/>
        </w:rPr>
        <w:t xml:space="preserve">limate change is presenting additional spending pressures on shrinking fiscal budgets. </w:t>
      </w:r>
      <w:r w:rsidR="00565099">
        <w:rPr>
          <w:rFonts w:ascii="Arial" w:hAnsi="Arial" w:cs="Arial"/>
          <w:lang w:val="en-US"/>
        </w:rPr>
        <w:t>I</w:t>
      </w:r>
      <w:r>
        <w:rPr>
          <w:rFonts w:ascii="Arial" w:hAnsi="Arial" w:cs="Arial"/>
          <w:lang w:val="en-US"/>
        </w:rPr>
        <w:t xml:space="preserve">n addition to social spending and protecting of the most </w:t>
      </w:r>
      <w:r w:rsidRPr="00953080">
        <w:rPr>
          <w:rFonts w:ascii="Arial" w:hAnsi="Arial" w:cs="Arial"/>
          <w:lang w:val="en-US"/>
        </w:rPr>
        <w:t xml:space="preserve">vulnerable segments of the populations </w:t>
      </w:r>
      <w:r>
        <w:rPr>
          <w:rFonts w:ascii="Arial" w:hAnsi="Arial" w:cs="Arial"/>
          <w:lang w:val="en-US"/>
        </w:rPr>
        <w:t xml:space="preserve">amid the ongoing cost-of-living crisis through targeted transfers, if continued, could raise further regional governments’ debt and financing risks, complicating choices for the existing policy space and eventually, </w:t>
      </w:r>
      <w:r w:rsidRPr="009C3356">
        <w:rPr>
          <w:rFonts w:ascii="Arial" w:hAnsi="Arial" w:cs="Arial"/>
          <w:lang w:val="en-US"/>
        </w:rPr>
        <w:t xml:space="preserve">vulnerability of these countries to debt default. </w:t>
      </w:r>
    </w:p>
    <w:p w14:paraId="0F83322B" w14:textId="77777777" w:rsidR="007800F6" w:rsidRPr="004C6F8E" w:rsidRDefault="007800F6" w:rsidP="00E66874">
      <w:pPr>
        <w:pStyle w:val="BodyText2"/>
        <w:rPr>
          <w:rFonts w:eastAsia="Calibri" w:cs="Arial"/>
          <w:b w:val="0"/>
          <w:sz w:val="20"/>
          <w:szCs w:val="20"/>
          <w:lang w:val="en-GB" w:bidi="fr-FR"/>
        </w:rPr>
      </w:pPr>
    </w:p>
    <w:p w14:paraId="55395D9D" w14:textId="7348DB1A" w:rsidR="00B14CAE" w:rsidRDefault="00B14CAE" w:rsidP="00D25303">
      <w:pPr>
        <w:pStyle w:val="Heading1"/>
        <w:numPr>
          <w:ilvl w:val="0"/>
          <w:numId w:val="10"/>
        </w:numPr>
        <w:spacing w:before="0" w:after="120" w:line="276" w:lineRule="auto"/>
        <w:ind w:left="0"/>
        <w:rPr>
          <w:rFonts w:ascii="Arial" w:hAnsi="Arial" w:cs="Arial"/>
          <w:sz w:val="22"/>
          <w:szCs w:val="22"/>
        </w:rPr>
      </w:pPr>
      <w:bookmarkStart w:id="23" w:name="_Toc70943220"/>
      <w:r w:rsidRPr="00DF41CE">
        <w:rPr>
          <w:rFonts w:ascii="Arial" w:hAnsi="Arial" w:cs="Arial"/>
          <w:sz w:val="22"/>
          <w:szCs w:val="22"/>
        </w:rPr>
        <w:t>External Current Account Including Grant</w:t>
      </w:r>
      <w:bookmarkEnd w:id="13"/>
      <w:bookmarkEnd w:id="23"/>
    </w:p>
    <w:p w14:paraId="5397662A" w14:textId="620DAEED" w:rsidR="0013091A" w:rsidRDefault="0091473B" w:rsidP="00D25303">
      <w:pPr>
        <w:spacing w:after="120"/>
        <w:jc w:val="both"/>
        <w:rPr>
          <w:rFonts w:ascii="Arial" w:hAnsi="Arial" w:cs="Arial"/>
          <w:bCs/>
          <w:lang w:val="en-US"/>
        </w:rPr>
      </w:pPr>
      <w:r w:rsidRPr="00AB55E9">
        <w:rPr>
          <w:rFonts w:ascii="Arial" w:hAnsi="Arial" w:cs="Arial"/>
          <w:bCs/>
          <w:lang w:val="en-US"/>
        </w:rPr>
        <w:t>The COMESA region e</w:t>
      </w:r>
      <w:r w:rsidR="00B14CAE" w:rsidRPr="00AB55E9">
        <w:rPr>
          <w:rFonts w:ascii="Arial" w:hAnsi="Arial" w:cs="Arial"/>
          <w:bCs/>
          <w:lang w:val="en-US"/>
        </w:rPr>
        <w:t xml:space="preserve">xternal </w:t>
      </w:r>
      <w:r w:rsidRPr="00AB55E9">
        <w:rPr>
          <w:rFonts w:ascii="Arial" w:hAnsi="Arial" w:cs="Arial"/>
          <w:bCs/>
          <w:lang w:val="en-US"/>
        </w:rPr>
        <w:t>c</w:t>
      </w:r>
      <w:r w:rsidR="00B14CAE" w:rsidRPr="00AB55E9">
        <w:rPr>
          <w:rFonts w:ascii="Arial" w:hAnsi="Arial" w:cs="Arial"/>
          <w:bCs/>
          <w:lang w:val="en-US"/>
        </w:rPr>
        <w:t>urrent account including grants</w:t>
      </w:r>
      <w:r w:rsidR="00AB55E9" w:rsidRPr="00AB55E9">
        <w:rPr>
          <w:rFonts w:ascii="Arial" w:hAnsi="Arial" w:cs="Arial"/>
          <w:bCs/>
          <w:lang w:val="en-US"/>
        </w:rPr>
        <w:t xml:space="preserve">, as a percentage of GDP, </w:t>
      </w:r>
      <w:r w:rsidR="00705511">
        <w:rPr>
          <w:rFonts w:ascii="Arial" w:hAnsi="Arial" w:cs="Arial"/>
          <w:bCs/>
          <w:lang w:val="en-US"/>
        </w:rPr>
        <w:t xml:space="preserve">deteriorated </w:t>
      </w:r>
      <w:r w:rsidRPr="00AB55E9">
        <w:rPr>
          <w:rFonts w:ascii="Arial" w:hAnsi="Arial" w:cs="Arial"/>
          <w:bCs/>
          <w:lang w:val="en-US"/>
        </w:rPr>
        <w:t>to an average of</w:t>
      </w:r>
      <w:r w:rsidR="00B14CAE" w:rsidRPr="00AB55E9">
        <w:rPr>
          <w:rFonts w:ascii="Arial" w:hAnsi="Arial" w:cs="Arial"/>
          <w:bCs/>
          <w:lang w:val="en-US"/>
        </w:rPr>
        <w:t xml:space="preserve"> -</w:t>
      </w:r>
      <w:r w:rsidR="00705511">
        <w:rPr>
          <w:rFonts w:ascii="Arial" w:hAnsi="Arial" w:cs="Arial"/>
          <w:bCs/>
          <w:lang w:val="en-US"/>
        </w:rPr>
        <w:t>4.2</w:t>
      </w:r>
      <w:r w:rsidR="00B67D92">
        <w:rPr>
          <w:rFonts w:ascii="Arial" w:hAnsi="Arial" w:cs="Arial"/>
          <w:bCs/>
          <w:lang w:val="en-US"/>
        </w:rPr>
        <w:t xml:space="preserve">% </w:t>
      </w:r>
      <w:r w:rsidR="00B14CAE" w:rsidRPr="00AB55E9">
        <w:rPr>
          <w:rFonts w:ascii="Arial" w:hAnsi="Arial" w:cs="Arial"/>
          <w:bCs/>
          <w:lang w:val="en-US"/>
        </w:rPr>
        <w:t>in 20</w:t>
      </w:r>
      <w:r w:rsidRPr="00AB55E9">
        <w:rPr>
          <w:rFonts w:ascii="Arial" w:hAnsi="Arial" w:cs="Arial"/>
          <w:bCs/>
          <w:lang w:val="en-US"/>
        </w:rPr>
        <w:t>2</w:t>
      </w:r>
      <w:r w:rsidR="00705511">
        <w:rPr>
          <w:rFonts w:ascii="Arial" w:hAnsi="Arial" w:cs="Arial"/>
          <w:bCs/>
          <w:lang w:val="en-US"/>
        </w:rPr>
        <w:t>2</w:t>
      </w:r>
      <w:r w:rsidRPr="00AB55E9">
        <w:rPr>
          <w:rFonts w:ascii="Arial" w:hAnsi="Arial" w:cs="Arial"/>
          <w:bCs/>
          <w:lang w:val="en-US"/>
        </w:rPr>
        <w:t xml:space="preserve">, </w:t>
      </w:r>
      <w:r w:rsidR="002D3CE1">
        <w:rPr>
          <w:rFonts w:ascii="Arial" w:hAnsi="Arial" w:cs="Arial"/>
          <w:bCs/>
          <w:lang w:val="en-US"/>
        </w:rPr>
        <w:t xml:space="preserve">relative to </w:t>
      </w:r>
      <w:r w:rsidR="00B67D92">
        <w:rPr>
          <w:rFonts w:ascii="Arial" w:hAnsi="Arial" w:cs="Arial"/>
          <w:bCs/>
          <w:lang w:val="en-US"/>
        </w:rPr>
        <w:t>-</w:t>
      </w:r>
      <w:r w:rsidR="00705511">
        <w:rPr>
          <w:rFonts w:ascii="Arial" w:hAnsi="Arial" w:cs="Arial"/>
          <w:bCs/>
          <w:lang w:val="en-US"/>
        </w:rPr>
        <w:t>3.7</w:t>
      </w:r>
      <w:r w:rsidR="00B67D92">
        <w:rPr>
          <w:rFonts w:ascii="Arial" w:hAnsi="Arial" w:cs="Arial"/>
          <w:bCs/>
          <w:lang w:val="en-US"/>
        </w:rPr>
        <w:t xml:space="preserve">% in </w:t>
      </w:r>
      <w:r w:rsidR="00B14CAE" w:rsidRPr="00AB55E9">
        <w:rPr>
          <w:rFonts w:ascii="Arial" w:hAnsi="Arial" w:cs="Arial"/>
          <w:bCs/>
          <w:lang w:val="en-US"/>
        </w:rPr>
        <w:t>20</w:t>
      </w:r>
      <w:r w:rsidR="00B67D92">
        <w:rPr>
          <w:rFonts w:ascii="Arial" w:hAnsi="Arial" w:cs="Arial"/>
          <w:bCs/>
          <w:lang w:val="en-US"/>
        </w:rPr>
        <w:t>2</w:t>
      </w:r>
      <w:r w:rsidR="00705511">
        <w:rPr>
          <w:rFonts w:ascii="Arial" w:hAnsi="Arial" w:cs="Arial"/>
          <w:bCs/>
          <w:lang w:val="en-US"/>
        </w:rPr>
        <w:t>1</w:t>
      </w:r>
      <w:r w:rsidR="00AB55E9" w:rsidRPr="00AB55E9">
        <w:rPr>
          <w:rFonts w:ascii="Arial" w:hAnsi="Arial" w:cs="Arial"/>
          <w:bCs/>
          <w:lang w:val="en-US"/>
        </w:rPr>
        <w:t xml:space="preserve"> </w:t>
      </w:r>
      <w:r w:rsidR="00302867" w:rsidRPr="00AB55E9">
        <w:rPr>
          <w:rFonts w:ascii="Arial" w:hAnsi="Arial" w:cs="Arial"/>
          <w:bCs/>
          <w:lang w:val="en-US"/>
        </w:rPr>
        <w:t>(</w:t>
      </w:r>
      <w:r w:rsidR="008679C2">
        <w:rPr>
          <w:rFonts w:ascii="Arial" w:hAnsi="Arial" w:cs="Arial"/>
          <w:b/>
          <w:bCs/>
          <w:lang w:val="en-US"/>
        </w:rPr>
        <w:t>Figure 5</w:t>
      </w:r>
      <w:r w:rsidR="00302867" w:rsidRPr="00AB55E9">
        <w:rPr>
          <w:rFonts w:ascii="Arial" w:hAnsi="Arial" w:cs="Arial"/>
          <w:bCs/>
          <w:lang w:val="en-US"/>
        </w:rPr>
        <w:t>)</w:t>
      </w:r>
      <w:r w:rsidR="00DF41CE" w:rsidRPr="00AB55E9">
        <w:rPr>
          <w:rFonts w:ascii="Arial" w:hAnsi="Arial" w:cs="Arial"/>
          <w:bCs/>
          <w:lang w:val="en-US"/>
        </w:rPr>
        <w:t>.</w:t>
      </w:r>
      <w:r w:rsidR="00B14CAE" w:rsidRPr="00AB55E9">
        <w:rPr>
          <w:rFonts w:ascii="Arial" w:hAnsi="Arial" w:cs="Arial"/>
          <w:bCs/>
          <w:lang w:val="en-US"/>
        </w:rPr>
        <w:t xml:space="preserve"> The</w:t>
      </w:r>
      <w:r w:rsidR="00AB55E9" w:rsidRPr="00AB55E9">
        <w:rPr>
          <w:rFonts w:ascii="Arial" w:hAnsi="Arial" w:cs="Arial"/>
          <w:bCs/>
          <w:lang w:val="en-US"/>
        </w:rPr>
        <w:t xml:space="preserve"> </w:t>
      </w:r>
      <w:r w:rsidR="00B67D92">
        <w:rPr>
          <w:rFonts w:ascii="Arial" w:hAnsi="Arial" w:cs="Arial"/>
          <w:bCs/>
          <w:lang w:val="en-US"/>
        </w:rPr>
        <w:t xml:space="preserve">persistent </w:t>
      </w:r>
      <w:r w:rsidR="00DF41CE" w:rsidRPr="00AB55E9">
        <w:rPr>
          <w:rFonts w:ascii="Arial" w:hAnsi="Arial" w:cs="Arial"/>
          <w:bCs/>
          <w:lang w:val="en-US"/>
        </w:rPr>
        <w:t xml:space="preserve">external current account </w:t>
      </w:r>
      <w:r w:rsidR="00AB55E9" w:rsidRPr="00AB55E9">
        <w:rPr>
          <w:rFonts w:ascii="Arial" w:hAnsi="Arial" w:cs="Arial"/>
          <w:bCs/>
          <w:lang w:val="en-US"/>
        </w:rPr>
        <w:t xml:space="preserve">deficit </w:t>
      </w:r>
      <w:r w:rsidR="00DF41CE" w:rsidRPr="00AB55E9">
        <w:rPr>
          <w:rFonts w:ascii="Arial" w:hAnsi="Arial" w:cs="Arial"/>
          <w:bCs/>
          <w:lang w:val="en-US"/>
        </w:rPr>
        <w:t xml:space="preserve">for most economies in the region </w:t>
      </w:r>
      <w:r w:rsidR="00AB55E9">
        <w:rPr>
          <w:rFonts w:ascii="Arial" w:hAnsi="Arial" w:cs="Arial"/>
          <w:bCs/>
          <w:lang w:val="en-US"/>
        </w:rPr>
        <w:t xml:space="preserve">is due </w:t>
      </w:r>
      <w:r w:rsidR="00845B70">
        <w:rPr>
          <w:rFonts w:ascii="Arial" w:hAnsi="Arial" w:cs="Arial"/>
          <w:bCs/>
          <w:lang w:val="en-US"/>
        </w:rPr>
        <w:t>to persistent</w:t>
      </w:r>
      <w:r w:rsidR="00AB55E9" w:rsidRPr="00AB55E9">
        <w:rPr>
          <w:rFonts w:ascii="Arial" w:hAnsi="Arial" w:cs="Arial"/>
          <w:bCs/>
          <w:lang w:val="en-US"/>
        </w:rPr>
        <w:t xml:space="preserve"> </w:t>
      </w:r>
      <w:r w:rsidR="00B14CAE" w:rsidRPr="00AB55E9">
        <w:rPr>
          <w:rFonts w:ascii="Arial" w:hAnsi="Arial" w:cs="Arial"/>
          <w:bCs/>
          <w:lang w:val="en-US"/>
        </w:rPr>
        <w:t>trade imbalances due to a combination of declining export demand and relatively inelastic import bills</w:t>
      </w:r>
      <w:r w:rsidR="0005423E">
        <w:rPr>
          <w:rFonts w:ascii="Arial" w:hAnsi="Arial" w:cs="Arial"/>
          <w:bCs/>
          <w:lang w:val="en-US"/>
        </w:rPr>
        <w:t xml:space="preserve"> because of higher commodity prices</w:t>
      </w:r>
      <w:r w:rsidR="00B14CAE" w:rsidRPr="00AB55E9">
        <w:rPr>
          <w:rFonts w:ascii="Arial" w:hAnsi="Arial" w:cs="Arial"/>
          <w:bCs/>
          <w:lang w:val="en-US"/>
        </w:rPr>
        <w:t>, and in some cases late disbursement of external aid flows faced by most countries in the COMESA region</w:t>
      </w:r>
      <w:r w:rsidR="0026513D">
        <w:rPr>
          <w:rFonts w:ascii="Arial" w:hAnsi="Arial" w:cs="Arial"/>
          <w:bCs/>
          <w:lang w:val="en-US"/>
        </w:rPr>
        <w:t>.</w:t>
      </w:r>
    </w:p>
    <w:p w14:paraId="2B6A2D3C" w14:textId="77777777" w:rsidR="00A03A60" w:rsidRDefault="00A03A60" w:rsidP="00A03A60">
      <w:pPr>
        <w:spacing w:after="120"/>
        <w:jc w:val="both"/>
        <w:rPr>
          <w:rFonts w:ascii="Arial" w:hAnsi="Arial" w:cs="Arial"/>
          <w:bCs/>
          <w:lang w:val="en-US"/>
        </w:rPr>
      </w:pPr>
      <w:r>
        <w:rPr>
          <w:rFonts w:ascii="Arial" w:hAnsi="Arial" w:cs="Arial"/>
          <w:bCs/>
          <w:lang w:val="en-US"/>
        </w:rPr>
        <w:t xml:space="preserve">The </w:t>
      </w:r>
      <w:r w:rsidRPr="00AB55E9">
        <w:rPr>
          <w:rFonts w:ascii="Arial" w:hAnsi="Arial" w:cs="Arial"/>
          <w:bCs/>
          <w:lang w:val="en-US"/>
        </w:rPr>
        <w:t xml:space="preserve">external current account including grants is projected to </w:t>
      </w:r>
      <w:r>
        <w:rPr>
          <w:rFonts w:ascii="Arial" w:hAnsi="Arial" w:cs="Arial"/>
          <w:bCs/>
          <w:lang w:val="en-US"/>
        </w:rPr>
        <w:t xml:space="preserve">deteriorate to -4.6% of GDP in 2023, but improve, albeit marginally, to -4.2% of GDP in 2024, on account of expected fall in international commodity prices, rebounding tourism, resilient remittances and fiscal consolidation. </w:t>
      </w:r>
    </w:p>
    <w:p w14:paraId="618E4E99" w14:textId="23560E9F" w:rsidR="00A03A60" w:rsidRDefault="00A03A60" w:rsidP="00D25303">
      <w:pPr>
        <w:spacing w:after="120"/>
        <w:jc w:val="both"/>
        <w:rPr>
          <w:rFonts w:ascii="Arial" w:hAnsi="Arial" w:cs="Arial"/>
          <w:bCs/>
          <w:lang w:val="en-US"/>
        </w:rPr>
      </w:pPr>
    </w:p>
    <w:p w14:paraId="377BA99A" w14:textId="1E26497F" w:rsidR="00A03A60" w:rsidRDefault="00A03A60" w:rsidP="00D25303">
      <w:pPr>
        <w:spacing w:after="120"/>
        <w:jc w:val="both"/>
        <w:rPr>
          <w:rFonts w:ascii="Arial" w:hAnsi="Arial" w:cs="Arial"/>
          <w:bCs/>
          <w:lang w:val="en-US"/>
        </w:rPr>
      </w:pPr>
    </w:p>
    <w:p w14:paraId="3DDE4ABA" w14:textId="13E5A740" w:rsidR="00A03A60" w:rsidRDefault="00A03A60" w:rsidP="00D25303">
      <w:pPr>
        <w:spacing w:after="120"/>
        <w:jc w:val="both"/>
        <w:rPr>
          <w:rFonts w:ascii="Arial" w:hAnsi="Arial" w:cs="Arial"/>
          <w:bCs/>
          <w:lang w:val="en-US"/>
        </w:rPr>
      </w:pPr>
    </w:p>
    <w:p w14:paraId="6C4E0861" w14:textId="08A4720B" w:rsidR="00A03A60" w:rsidRDefault="00A03A60" w:rsidP="00D25303">
      <w:pPr>
        <w:spacing w:after="120"/>
        <w:jc w:val="both"/>
        <w:rPr>
          <w:rFonts w:ascii="Arial" w:hAnsi="Arial" w:cs="Arial"/>
          <w:bCs/>
          <w:lang w:val="en-US"/>
        </w:rPr>
      </w:pPr>
    </w:p>
    <w:p w14:paraId="27B7CCC4" w14:textId="77777777" w:rsidR="00A03A60" w:rsidRDefault="00A03A60" w:rsidP="00D25303">
      <w:pPr>
        <w:spacing w:after="120"/>
        <w:jc w:val="both"/>
        <w:rPr>
          <w:rFonts w:ascii="Arial" w:hAnsi="Arial" w:cs="Arial"/>
          <w:bCs/>
          <w:lang w:val="en-US"/>
        </w:rPr>
      </w:pPr>
    </w:p>
    <w:p w14:paraId="078286F5" w14:textId="4CBB96DC" w:rsidR="003634A2" w:rsidRPr="00B67D92" w:rsidRDefault="003634A2" w:rsidP="00D25303">
      <w:pPr>
        <w:spacing w:after="120"/>
        <w:jc w:val="both"/>
        <w:rPr>
          <w:rFonts w:ascii="Arial" w:hAnsi="Arial" w:cs="Arial"/>
          <w:bCs/>
          <w:color w:val="C0504D" w:themeColor="accent2"/>
          <w:lang w:val="en-US"/>
        </w:rPr>
      </w:pPr>
      <w:r w:rsidRPr="00B67D92">
        <w:rPr>
          <w:rFonts w:ascii="Arial" w:hAnsi="Arial" w:cs="Arial"/>
          <w:bCs/>
          <w:color w:val="C0504D" w:themeColor="accent2"/>
          <w:lang w:val="en-US"/>
        </w:rPr>
        <w:lastRenderedPageBreak/>
        <w:t xml:space="preserve"> </w:t>
      </w:r>
    </w:p>
    <w:p w14:paraId="6205BAEE" w14:textId="70699D11" w:rsidR="007B704B" w:rsidRDefault="007B704B" w:rsidP="007B704B">
      <w:pPr>
        <w:spacing w:after="0" w:line="240" w:lineRule="auto"/>
        <w:jc w:val="both"/>
        <w:rPr>
          <w:rFonts w:ascii="Arial" w:hAnsi="Arial" w:cs="Arial"/>
          <w:bCs/>
          <w:iCs/>
          <w:lang w:val="en-US"/>
        </w:rPr>
      </w:pPr>
      <w:r w:rsidRPr="00A04EF3">
        <w:rPr>
          <w:rFonts w:ascii="Arial" w:hAnsi="Arial" w:cs="Arial"/>
          <w:bCs/>
          <w:iCs/>
          <w:lang w:val="en-US"/>
        </w:rPr>
        <w:t xml:space="preserve">Figure </w:t>
      </w:r>
      <w:r w:rsidRPr="00A04EF3">
        <w:rPr>
          <w:rFonts w:ascii="Arial" w:hAnsi="Arial" w:cs="Arial"/>
          <w:bCs/>
          <w:iCs/>
          <w:lang w:val="en-US"/>
        </w:rPr>
        <w:fldChar w:fldCharType="begin"/>
      </w:r>
      <w:r w:rsidRPr="00A04EF3">
        <w:rPr>
          <w:rFonts w:ascii="Arial" w:hAnsi="Arial" w:cs="Arial"/>
          <w:bCs/>
          <w:iCs/>
          <w:lang w:val="en-US"/>
        </w:rPr>
        <w:instrText xml:space="preserve"> SEQ Figure \* ARABIC </w:instrText>
      </w:r>
      <w:r w:rsidRPr="00A04EF3">
        <w:rPr>
          <w:rFonts w:ascii="Arial" w:hAnsi="Arial" w:cs="Arial"/>
          <w:bCs/>
          <w:iCs/>
          <w:lang w:val="en-US"/>
        </w:rPr>
        <w:fldChar w:fldCharType="separate"/>
      </w:r>
      <w:r w:rsidR="00C67278">
        <w:rPr>
          <w:rFonts w:ascii="Arial" w:hAnsi="Arial" w:cs="Arial"/>
          <w:bCs/>
          <w:iCs/>
          <w:noProof/>
          <w:lang w:val="en-US"/>
        </w:rPr>
        <w:t>5</w:t>
      </w:r>
      <w:r w:rsidRPr="00A04EF3">
        <w:rPr>
          <w:rFonts w:ascii="Arial" w:hAnsi="Arial" w:cs="Arial"/>
          <w:bCs/>
          <w:iCs/>
          <w:lang w:val="en-US"/>
        </w:rPr>
        <w:fldChar w:fldCharType="end"/>
      </w:r>
      <w:r w:rsidRPr="00A04EF3">
        <w:rPr>
          <w:rFonts w:ascii="Arial" w:hAnsi="Arial" w:cs="Arial"/>
          <w:bCs/>
          <w:iCs/>
          <w:lang w:val="en-US"/>
        </w:rPr>
        <w:t>: COMESA average External Current Account (incl. Grants, % of GDP) </w:t>
      </w:r>
    </w:p>
    <w:p w14:paraId="71EB89FA" w14:textId="295C42DC" w:rsidR="009F031C" w:rsidRDefault="009F031C" w:rsidP="007B704B">
      <w:pPr>
        <w:spacing w:after="0" w:line="240" w:lineRule="auto"/>
        <w:jc w:val="both"/>
        <w:rPr>
          <w:rFonts w:ascii="Arial" w:hAnsi="Arial" w:cs="Arial"/>
          <w:bCs/>
          <w:iCs/>
          <w:lang w:val="en-US"/>
        </w:rPr>
      </w:pPr>
      <w:r>
        <w:rPr>
          <w:noProof/>
        </w:rPr>
        <w:drawing>
          <wp:inline distT="0" distB="0" distL="0" distR="0" wp14:anchorId="537DA911" wp14:editId="184926DD">
            <wp:extent cx="5879990" cy="2743200"/>
            <wp:effectExtent l="0" t="0" r="6985" b="0"/>
            <wp:docPr id="1" name="Chart 1">
              <a:extLst xmlns:a="http://schemas.openxmlformats.org/drawingml/2006/main">
                <a:ext uri="{FF2B5EF4-FFF2-40B4-BE49-F238E27FC236}">
                  <a16:creationId xmlns:a16="http://schemas.microsoft.com/office/drawing/2014/main" id="{1AA2DC19-A8B4-990B-F53A-40B26FC15D7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291DF73F" w14:textId="4107F956" w:rsidR="007B704B" w:rsidRPr="004C6F8E" w:rsidRDefault="007B704B" w:rsidP="007B704B">
      <w:pPr>
        <w:pStyle w:val="BodyText2"/>
        <w:rPr>
          <w:rFonts w:eastAsia="Calibri" w:cs="Arial"/>
          <w:b w:val="0"/>
          <w:sz w:val="20"/>
          <w:szCs w:val="20"/>
          <w:lang w:val="en-GB" w:bidi="fr-FR"/>
        </w:rPr>
      </w:pPr>
      <w:r w:rsidRPr="004C6F8E">
        <w:rPr>
          <w:rFonts w:eastAsia="Calibri" w:cs="Arial"/>
          <w:b w:val="0"/>
          <w:sz w:val="20"/>
          <w:szCs w:val="20"/>
          <w:lang w:val="en-GB" w:bidi="fr-FR"/>
        </w:rPr>
        <w:t>Source: IMF REO Sub Saharan Africa April 202</w:t>
      </w:r>
      <w:r w:rsidR="00826BC6">
        <w:rPr>
          <w:rFonts w:eastAsia="Calibri" w:cs="Arial"/>
          <w:b w:val="0"/>
          <w:sz w:val="20"/>
          <w:szCs w:val="20"/>
          <w:lang w:val="en-GB" w:bidi="fr-FR"/>
        </w:rPr>
        <w:t>3</w:t>
      </w:r>
      <w:r w:rsidR="009F031C">
        <w:rPr>
          <w:rFonts w:eastAsia="Calibri" w:cs="Arial"/>
          <w:b w:val="0"/>
          <w:sz w:val="20"/>
          <w:szCs w:val="20"/>
          <w:lang w:val="en-GB" w:bidi="fr-FR"/>
        </w:rPr>
        <w:t>.</w:t>
      </w:r>
    </w:p>
    <w:p w14:paraId="66757A6B" w14:textId="3BBF9446" w:rsidR="007B704B" w:rsidRDefault="007B704B" w:rsidP="00AB55E9">
      <w:pPr>
        <w:jc w:val="both"/>
        <w:rPr>
          <w:rFonts w:ascii="Arial" w:hAnsi="Arial" w:cs="Arial"/>
          <w:bCs/>
          <w:lang w:val="en-US"/>
        </w:rPr>
      </w:pPr>
    </w:p>
    <w:p w14:paraId="06966EC1" w14:textId="77777777" w:rsidR="00F653CB" w:rsidRPr="00833A6C" w:rsidRDefault="00B14CAE" w:rsidP="00D25303">
      <w:pPr>
        <w:pStyle w:val="Heading1"/>
        <w:numPr>
          <w:ilvl w:val="0"/>
          <w:numId w:val="10"/>
        </w:numPr>
        <w:spacing w:before="0" w:after="120" w:line="276" w:lineRule="auto"/>
        <w:ind w:left="0"/>
        <w:rPr>
          <w:rFonts w:ascii="Arial" w:hAnsi="Arial" w:cs="Arial"/>
          <w:sz w:val="22"/>
          <w:szCs w:val="22"/>
        </w:rPr>
      </w:pPr>
      <w:bookmarkStart w:id="24" w:name="_Toc505769859"/>
      <w:bookmarkStart w:id="25" w:name="_Toc70943221"/>
      <w:r w:rsidRPr="00833A6C">
        <w:rPr>
          <w:rFonts w:ascii="Arial" w:hAnsi="Arial" w:cs="Arial"/>
          <w:sz w:val="22"/>
          <w:szCs w:val="22"/>
        </w:rPr>
        <w:t>Reserve Accumulation</w:t>
      </w:r>
      <w:bookmarkEnd w:id="24"/>
      <w:bookmarkEnd w:id="25"/>
    </w:p>
    <w:p w14:paraId="2765D40E" w14:textId="1DE0C4F1" w:rsidR="0013091A" w:rsidRDefault="00AD435E" w:rsidP="0013091A">
      <w:pPr>
        <w:spacing w:after="120"/>
        <w:jc w:val="both"/>
        <w:rPr>
          <w:rFonts w:ascii="Arial" w:hAnsi="Arial" w:cs="Arial"/>
          <w:lang w:val="en-US"/>
        </w:rPr>
      </w:pPr>
      <w:bookmarkStart w:id="26" w:name="_Hlk87519829"/>
      <w:r w:rsidRPr="001E6D9F">
        <w:rPr>
          <w:rFonts w:ascii="Arial" w:hAnsi="Arial" w:cs="Arial"/>
          <w:lang w:val="en-US"/>
        </w:rPr>
        <w:t xml:space="preserve">The </w:t>
      </w:r>
      <w:r w:rsidR="001E6D9F" w:rsidRPr="001E6D9F">
        <w:rPr>
          <w:rFonts w:ascii="Arial" w:hAnsi="Arial" w:cs="Arial"/>
          <w:lang w:val="en-US"/>
        </w:rPr>
        <w:t xml:space="preserve">COMESA region </w:t>
      </w:r>
      <w:r w:rsidRPr="001E6D9F">
        <w:rPr>
          <w:rFonts w:ascii="Arial" w:hAnsi="Arial" w:cs="Arial"/>
          <w:lang w:val="en-US"/>
        </w:rPr>
        <w:t xml:space="preserve">external reserve </w:t>
      </w:r>
      <w:r w:rsidR="001E6D9F">
        <w:rPr>
          <w:rFonts w:ascii="Arial" w:hAnsi="Arial" w:cs="Arial"/>
          <w:lang w:val="en-US"/>
        </w:rPr>
        <w:t xml:space="preserve">cover </w:t>
      </w:r>
      <w:r w:rsidR="002466A1">
        <w:rPr>
          <w:rFonts w:ascii="Arial" w:hAnsi="Arial" w:cs="Arial"/>
          <w:lang w:val="en-US"/>
        </w:rPr>
        <w:t xml:space="preserve">dwindled </w:t>
      </w:r>
      <w:r w:rsidR="00AC649E">
        <w:rPr>
          <w:rFonts w:ascii="Arial" w:hAnsi="Arial" w:cs="Arial"/>
          <w:lang w:val="en-US"/>
        </w:rPr>
        <w:t xml:space="preserve">further to an </w:t>
      </w:r>
      <w:r w:rsidR="001E6D9F">
        <w:rPr>
          <w:rFonts w:ascii="Arial" w:hAnsi="Arial" w:cs="Arial"/>
          <w:lang w:val="en-US"/>
        </w:rPr>
        <w:t>average</w:t>
      </w:r>
      <w:r w:rsidR="00AC649E">
        <w:rPr>
          <w:rFonts w:ascii="Arial" w:hAnsi="Arial" w:cs="Arial"/>
          <w:lang w:val="en-US"/>
        </w:rPr>
        <w:t xml:space="preserve"> of</w:t>
      </w:r>
      <w:r w:rsidR="001E6D9F">
        <w:rPr>
          <w:rFonts w:ascii="Arial" w:hAnsi="Arial" w:cs="Arial"/>
          <w:lang w:val="en-US"/>
        </w:rPr>
        <w:t xml:space="preserve"> </w:t>
      </w:r>
      <w:r w:rsidR="002466A1">
        <w:rPr>
          <w:rFonts w:ascii="Arial" w:hAnsi="Arial" w:cs="Arial"/>
          <w:lang w:val="en-US"/>
        </w:rPr>
        <w:t xml:space="preserve">2.5 </w:t>
      </w:r>
      <w:r w:rsidR="001E6D9F">
        <w:rPr>
          <w:rFonts w:ascii="Arial" w:hAnsi="Arial" w:cs="Arial"/>
          <w:lang w:val="en-US"/>
        </w:rPr>
        <w:t>in month</w:t>
      </w:r>
      <w:r w:rsidR="00B537CE">
        <w:rPr>
          <w:rFonts w:ascii="Arial" w:hAnsi="Arial" w:cs="Arial"/>
          <w:lang w:val="en-US"/>
        </w:rPr>
        <w:t>s</w:t>
      </w:r>
      <w:r w:rsidR="001E6D9F">
        <w:rPr>
          <w:rFonts w:ascii="Arial" w:hAnsi="Arial" w:cs="Arial"/>
          <w:lang w:val="en-US"/>
        </w:rPr>
        <w:t xml:space="preserve"> of imports of goods and services, down from </w:t>
      </w:r>
      <w:r w:rsidR="00AC649E">
        <w:rPr>
          <w:rFonts w:ascii="Arial" w:hAnsi="Arial" w:cs="Arial"/>
          <w:lang w:val="en-US"/>
        </w:rPr>
        <w:t xml:space="preserve">3.1 </w:t>
      </w:r>
      <w:r w:rsidR="009E6BEE" w:rsidRPr="001E6D9F">
        <w:rPr>
          <w:rFonts w:ascii="Arial" w:hAnsi="Arial" w:cs="Arial"/>
          <w:lang w:val="en-US"/>
        </w:rPr>
        <w:t>months of import of good and services in</w:t>
      </w:r>
      <w:r w:rsidR="00AC649E">
        <w:rPr>
          <w:rFonts w:ascii="Arial" w:hAnsi="Arial" w:cs="Arial"/>
          <w:lang w:val="en-US"/>
        </w:rPr>
        <w:t xml:space="preserve"> 202</w:t>
      </w:r>
      <w:r w:rsidR="002466A1">
        <w:rPr>
          <w:rFonts w:ascii="Arial" w:hAnsi="Arial" w:cs="Arial"/>
          <w:lang w:val="en-US"/>
        </w:rPr>
        <w:t xml:space="preserve">1 </w:t>
      </w:r>
      <w:r w:rsidR="00AC649E">
        <w:rPr>
          <w:rFonts w:ascii="Arial" w:hAnsi="Arial" w:cs="Arial"/>
          <w:lang w:val="en-US"/>
        </w:rPr>
        <w:t xml:space="preserve">and </w:t>
      </w:r>
      <w:r w:rsidR="009E6BEE" w:rsidRPr="001E6D9F">
        <w:rPr>
          <w:rFonts w:ascii="Arial" w:hAnsi="Arial" w:cs="Arial"/>
          <w:lang w:val="en-US"/>
        </w:rPr>
        <w:t>20</w:t>
      </w:r>
      <w:r w:rsidR="002466A1">
        <w:rPr>
          <w:rFonts w:ascii="Arial" w:hAnsi="Arial" w:cs="Arial"/>
          <w:lang w:val="en-US"/>
        </w:rPr>
        <w:t xml:space="preserve">20 </w:t>
      </w:r>
      <w:bookmarkEnd w:id="26"/>
      <w:r w:rsidR="00692473" w:rsidRPr="001E6D9F">
        <w:rPr>
          <w:rFonts w:ascii="Arial" w:hAnsi="Arial" w:cs="Arial"/>
          <w:lang w:val="en-US"/>
        </w:rPr>
        <w:t>(</w:t>
      </w:r>
      <w:r w:rsidR="008762B4">
        <w:rPr>
          <w:rFonts w:ascii="Arial" w:hAnsi="Arial" w:cs="Arial"/>
          <w:b/>
          <w:lang w:val="en-US"/>
        </w:rPr>
        <w:t>Figure 6</w:t>
      </w:r>
      <w:r w:rsidR="00692473" w:rsidRPr="001E6D9F">
        <w:rPr>
          <w:rFonts w:ascii="Arial" w:hAnsi="Arial" w:cs="Arial"/>
          <w:lang w:val="en-US"/>
        </w:rPr>
        <w:t>)</w:t>
      </w:r>
      <w:r w:rsidR="009E6BEE" w:rsidRPr="001E6D9F">
        <w:rPr>
          <w:rFonts w:ascii="Arial" w:hAnsi="Arial" w:cs="Arial"/>
          <w:lang w:val="en-US"/>
        </w:rPr>
        <w:t xml:space="preserve">. </w:t>
      </w:r>
    </w:p>
    <w:p w14:paraId="5A426163" w14:textId="77777777" w:rsidR="00BE0C69" w:rsidRDefault="00BE0C69" w:rsidP="00A03A60">
      <w:pPr>
        <w:spacing w:after="0" w:line="240" w:lineRule="auto"/>
        <w:jc w:val="both"/>
        <w:rPr>
          <w:rFonts w:ascii="Arial" w:hAnsi="Arial" w:cs="Arial"/>
          <w:lang w:val="en-US"/>
        </w:rPr>
      </w:pPr>
    </w:p>
    <w:p w14:paraId="4EA70B26" w14:textId="21E145E0" w:rsidR="00C54E9A" w:rsidRDefault="00C54E9A" w:rsidP="00A03A60">
      <w:pPr>
        <w:spacing w:after="0" w:line="240" w:lineRule="auto"/>
        <w:jc w:val="both"/>
        <w:rPr>
          <w:rFonts w:ascii="Arial" w:hAnsi="Arial" w:cs="Arial"/>
          <w:lang w:val="en-US"/>
        </w:rPr>
      </w:pPr>
      <w:r w:rsidRPr="001E6D9F">
        <w:rPr>
          <w:rFonts w:ascii="Arial" w:hAnsi="Arial" w:cs="Arial"/>
          <w:lang w:val="en-US"/>
        </w:rPr>
        <w:t xml:space="preserve">Figure </w:t>
      </w:r>
      <w:r w:rsidRPr="001E6D9F">
        <w:rPr>
          <w:rFonts w:ascii="Arial" w:hAnsi="Arial" w:cs="Arial"/>
          <w:i/>
          <w:iCs/>
          <w:lang w:val="en-US"/>
        </w:rPr>
        <w:fldChar w:fldCharType="begin"/>
      </w:r>
      <w:r w:rsidRPr="001E6D9F">
        <w:rPr>
          <w:rFonts w:ascii="Arial" w:hAnsi="Arial" w:cs="Arial"/>
          <w:lang w:val="en-US"/>
        </w:rPr>
        <w:instrText xml:space="preserve"> SEQ Figure \* ARABIC </w:instrText>
      </w:r>
      <w:r w:rsidRPr="001E6D9F">
        <w:rPr>
          <w:rFonts w:ascii="Arial" w:hAnsi="Arial" w:cs="Arial"/>
          <w:i/>
          <w:iCs/>
          <w:lang w:val="en-US"/>
        </w:rPr>
        <w:fldChar w:fldCharType="separate"/>
      </w:r>
      <w:r w:rsidR="00C67278">
        <w:rPr>
          <w:rFonts w:ascii="Arial" w:hAnsi="Arial" w:cs="Arial"/>
          <w:noProof/>
          <w:lang w:val="en-US"/>
        </w:rPr>
        <w:t>6</w:t>
      </w:r>
      <w:r w:rsidRPr="001E6D9F">
        <w:rPr>
          <w:rFonts w:ascii="Arial" w:hAnsi="Arial" w:cs="Arial"/>
          <w:i/>
          <w:iCs/>
          <w:lang w:val="en-US"/>
        </w:rPr>
        <w:fldChar w:fldCharType="end"/>
      </w:r>
      <w:r w:rsidRPr="001E6D9F">
        <w:rPr>
          <w:rFonts w:ascii="Arial" w:hAnsi="Arial" w:cs="Arial"/>
          <w:lang w:val="en-US"/>
        </w:rPr>
        <w:t xml:space="preserve">: COMESA </w:t>
      </w:r>
      <w:r>
        <w:rPr>
          <w:rFonts w:ascii="Arial" w:hAnsi="Arial" w:cs="Arial"/>
          <w:lang w:val="en-US"/>
        </w:rPr>
        <w:t>a</w:t>
      </w:r>
      <w:r w:rsidRPr="001E6D9F">
        <w:rPr>
          <w:rFonts w:ascii="Arial" w:hAnsi="Arial" w:cs="Arial"/>
          <w:lang w:val="en-US"/>
        </w:rPr>
        <w:t>verage Reserves (Months of imports of goods and services</w:t>
      </w:r>
      <w:r>
        <w:rPr>
          <w:rFonts w:ascii="Arial" w:hAnsi="Arial" w:cs="Arial"/>
          <w:lang w:val="en-US"/>
        </w:rPr>
        <w:t xml:space="preserve"> cover</w:t>
      </w:r>
      <w:r w:rsidRPr="001E6D9F">
        <w:rPr>
          <w:rFonts w:ascii="Arial" w:hAnsi="Arial" w:cs="Arial"/>
          <w:lang w:val="en-US"/>
        </w:rPr>
        <w:t>)</w:t>
      </w:r>
    </w:p>
    <w:p w14:paraId="7FF39FA6" w14:textId="048654EB" w:rsidR="009F031C" w:rsidRDefault="00D95C78" w:rsidP="00D95C78">
      <w:pPr>
        <w:spacing w:after="0" w:line="240" w:lineRule="auto"/>
        <w:rPr>
          <w:lang w:val="en-US"/>
        </w:rPr>
      </w:pPr>
      <w:r>
        <w:rPr>
          <w:noProof/>
        </w:rPr>
        <w:drawing>
          <wp:inline distT="0" distB="0" distL="0" distR="0" wp14:anchorId="307475BE" wp14:editId="15ACD12C">
            <wp:extent cx="5509895" cy="2613025"/>
            <wp:effectExtent l="0" t="0" r="14605" b="15875"/>
            <wp:docPr id="8" name="Chart 8">
              <a:extLst xmlns:a="http://schemas.openxmlformats.org/drawingml/2006/main">
                <a:ext uri="{FF2B5EF4-FFF2-40B4-BE49-F238E27FC236}">
                  <a16:creationId xmlns:a16="http://schemas.microsoft.com/office/drawing/2014/main" id="{D383F2EF-5E7D-B961-D455-E5DDA219348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7A1875A1" w14:textId="18BADBDA" w:rsidR="00C54E9A" w:rsidRDefault="00C54E9A" w:rsidP="00D95C78">
      <w:pPr>
        <w:pStyle w:val="BodyText2"/>
        <w:rPr>
          <w:rFonts w:eastAsia="Calibri" w:cs="Arial"/>
          <w:b w:val="0"/>
          <w:sz w:val="20"/>
          <w:szCs w:val="20"/>
          <w:lang w:val="en-GB" w:bidi="fr-FR"/>
        </w:rPr>
      </w:pPr>
      <w:r w:rsidRPr="004C6F8E">
        <w:rPr>
          <w:rFonts w:eastAsia="Calibri" w:cs="Arial"/>
          <w:b w:val="0"/>
          <w:sz w:val="20"/>
          <w:szCs w:val="20"/>
          <w:lang w:val="en-GB" w:bidi="fr-FR"/>
        </w:rPr>
        <w:t>Source: IMF REO Sub Saharan Africa April 202</w:t>
      </w:r>
      <w:r w:rsidR="00826BC6">
        <w:rPr>
          <w:rFonts w:eastAsia="Calibri" w:cs="Arial"/>
          <w:b w:val="0"/>
          <w:sz w:val="20"/>
          <w:szCs w:val="20"/>
          <w:lang w:val="en-GB" w:bidi="fr-FR"/>
        </w:rPr>
        <w:t>3</w:t>
      </w:r>
    </w:p>
    <w:p w14:paraId="05E372D7" w14:textId="77777777" w:rsidR="00A03A60" w:rsidRDefault="00A03A60" w:rsidP="008762B4">
      <w:pPr>
        <w:spacing w:after="120"/>
        <w:jc w:val="both"/>
        <w:rPr>
          <w:rFonts w:ascii="Arial" w:hAnsi="Arial" w:cs="Arial"/>
          <w:lang w:val="en-US"/>
        </w:rPr>
      </w:pPr>
    </w:p>
    <w:p w14:paraId="215F0956" w14:textId="65ABAB9C" w:rsidR="008762B4" w:rsidRDefault="008762B4" w:rsidP="008762B4">
      <w:pPr>
        <w:spacing w:after="120"/>
        <w:jc w:val="both"/>
        <w:rPr>
          <w:rFonts w:ascii="Arial" w:hAnsi="Arial" w:cs="Arial"/>
          <w:lang w:val="en-US"/>
        </w:rPr>
      </w:pPr>
      <w:r w:rsidRPr="001E6D9F">
        <w:rPr>
          <w:rFonts w:ascii="Arial" w:hAnsi="Arial" w:cs="Arial"/>
          <w:lang w:val="en-US"/>
        </w:rPr>
        <w:t>A</w:t>
      </w:r>
      <w:r>
        <w:rPr>
          <w:rFonts w:ascii="Arial" w:hAnsi="Arial" w:cs="Arial"/>
          <w:lang w:val="en-US"/>
        </w:rPr>
        <w:t xml:space="preserve">t an average of 2.5 in months of imports of goods and services, reserves have breached the standard import-cover benchmark for the </w:t>
      </w:r>
      <w:r w:rsidRPr="0043343C">
        <w:rPr>
          <w:rFonts w:ascii="Arial" w:hAnsi="Arial" w:cs="Arial"/>
          <w:lang w:val="en-US"/>
        </w:rPr>
        <w:t>COMESA macroeconomic Convergence Criteria of External Reserves of equal to or more than 3 months</w:t>
      </w:r>
      <w:r>
        <w:rPr>
          <w:rFonts w:ascii="Arial" w:hAnsi="Arial" w:cs="Arial"/>
          <w:lang w:val="en-US"/>
        </w:rPr>
        <w:t>. As per the data beforehand, e</w:t>
      </w:r>
      <w:r w:rsidRPr="0043343C">
        <w:rPr>
          <w:rFonts w:ascii="Arial" w:hAnsi="Arial" w:cs="Arial"/>
          <w:lang w:val="en-US"/>
        </w:rPr>
        <w:t>leven (11) COMESA member countries</w:t>
      </w:r>
      <w:r>
        <w:rPr>
          <w:rFonts w:ascii="Arial" w:hAnsi="Arial" w:cs="Arial"/>
          <w:lang w:val="en-US"/>
        </w:rPr>
        <w:t xml:space="preserve">, including, </w:t>
      </w:r>
      <w:r w:rsidRPr="0043343C">
        <w:rPr>
          <w:rFonts w:ascii="Arial" w:hAnsi="Arial" w:cs="Arial"/>
          <w:lang w:val="en-US"/>
        </w:rPr>
        <w:t xml:space="preserve">Comoros, Egypt, </w:t>
      </w:r>
      <w:r>
        <w:rPr>
          <w:rFonts w:ascii="Arial" w:hAnsi="Arial" w:cs="Arial"/>
          <w:lang w:val="en-US"/>
        </w:rPr>
        <w:t xml:space="preserve">Eritrea, </w:t>
      </w:r>
      <w:r w:rsidRPr="0043343C">
        <w:rPr>
          <w:rFonts w:ascii="Arial" w:hAnsi="Arial" w:cs="Arial"/>
          <w:lang w:val="en-US"/>
        </w:rPr>
        <w:t xml:space="preserve">Kenya, Madagascar, Mauritius, Rwanda, Seychelles, </w:t>
      </w:r>
      <w:r>
        <w:rPr>
          <w:rFonts w:ascii="Arial" w:hAnsi="Arial" w:cs="Arial"/>
          <w:lang w:val="en-US"/>
        </w:rPr>
        <w:t xml:space="preserve">Tunisia, </w:t>
      </w:r>
      <w:r w:rsidRPr="0043343C">
        <w:rPr>
          <w:rFonts w:ascii="Arial" w:hAnsi="Arial" w:cs="Arial"/>
          <w:lang w:val="en-US"/>
        </w:rPr>
        <w:t xml:space="preserve">Uganda </w:t>
      </w:r>
      <w:r>
        <w:rPr>
          <w:rFonts w:ascii="Arial" w:hAnsi="Arial" w:cs="Arial"/>
          <w:lang w:val="en-US"/>
        </w:rPr>
        <w:t xml:space="preserve">and Zambia met the threshold on reserves in </w:t>
      </w:r>
      <w:r w:rsidRPr="0043343C">
        <w:rPr>
          <w:rFonts w:ascii="Arial" w:hAnsi="Arial" w:cs="Arial"/>
          <w:lang w:val="en-US"/>
        </w:rPr>
        <w:t>months of imports of goods and services</w:t>
      </w:r>
      <w:r>
        <w:rPr>
          <w:rFonts w:ascii="Arial" w:hAnsi="Arial" w:cs="Arial"/>
          <w:lang w:val="en-US"/>
        </w:rPr>
        <w:t xml:space="preserve"> cover</w:t>
      </w:r>
      <w:r w:rsidRPr="0043343C">
        <w:rPr>
          <w:rFonts w:ascii="Arial" w:hAnsi="Arial" w:cs="Arial"/>
          <w:lang w:val="en-US"/>
        </w:rPr>
        <w:t xml:space="preserve">.  </w:t>
      </w:r>
    </w:p>
    <w:p w14:paraId="55F5DBCB" w14:textId="5674ACBB" w:rsidR="008762B4" w:rsidRDefault="008762B4" w:rsidP="008762B4">
      <w:pPr>
        <w:spacing w:after="120"/>
        <w:jc w:val="both"/>
        <w:rPr>
          <w:rFonts w:ascii="Arial" w:hAnsi="Arial" w:cs="Arial"/>
          <w:lang w:val="en-US"/>
        </w:rPr>
      </w:pPr>
      <w:r>
        <w:rPr>
          <w:rFonts w:ascii="Arial" w:hAnsi="Arial" w:cs="Arial"/>
          <w:lang w:val="en-US"/>
        </w:rPr>
        <w:lastRenderedPageBreak/>
        <w:t xml:space="preserve">Relative to the historical average, the region’s reserve cover, in the outer years of 2023 and 2024, </w:t>
      </w:r>
      <w:r w:rsidRPr="001E6D9F">
        <w:rPr>
          <w:rFonts w:ascii="Arial" w:hAnsi="Arial" w:cs="Arial"/>
          <w:lang w:val="en-US"/>
        </w:rPr>
        <w:t xml:space="preserve">is </w:t>
      </w:r>
      <w:r>
        <w:rPr>
          <w:rFonts w:ascii="Arial" w:hAnsi="Arial" w:cs="Arial"/>
          <w:lang w:val="en-US"/>
        </w:rPr>
        <w:t>projected to dwindle even further</w:t>
      </w:r>
      <w:r w:rsidR="007C3364">
        <w:rPr>
          <w:rFonts w:ascii="Arial" w:hAnsi="Arial" w:cs="Arial"/>
          <w:lang w:val="en-US"/>
        </w:rPr>
        <w:t xml:space="preserve"> to</w:t>
      </w:r>
      <w:r>
        <w:rPr>
          <w:rFonts w:ascii="Arial" w:hAnsi="Arial" w:cs="Arial"/>
          <w:lang w:val="en-US"/>
        </w:rPr>
        <w:t xml:space="preserve"> 2.2 and 2.4 </w:t>
      </w:r>
      <w:r w:rsidRPr="001E6D9F">
        <w:rPr>
          <w:rFonts w:ascii="Arial" w:hAnsi="Arial" w:cs="Arial"/>
          <w:lang w:val="en-US"/>
        </w:rPr>
        <w:t>months of import of good and services</w:t>
      </w:r>
      <w:r>
        <w:rPr>
          <w:rFonts w:ascii="Arial" w:hAnsi="Arial" w:cs="Arial"/>
          <w:lang w:val="en-US"/>
        </w:rPr>
        <w:t xml:space="preserve">, largely </w:t>
      </w:r>
      <w:r w:rsidR="007C3364">
        <w:rPr>
          <w:rFonts w:ascii="Arial" w:hAnsi="Arial" w:cs="Arial"/>
          <w:lang w:val="en-US"/>
        </w:rPr>
        <w:t xml:space="preserve">reflecting impact of </w:t>
      </w:r>
      <w:r>
        <w:rPr>
          <w:rFonts w:ascii="Arial" w:hAnsi="Arial" w:cs="Arial"/>
          <w:lang w:val="en-US"/>
        </w:rPr>
        <w:t xml:space="preserve">market interventions to offset </w:t>
      </w:r>
      <w:r w:rsidR="007C3364">
        <w:rPr>
          <w:rFonts w:ascii="Arial" w:hAnsi="Arial" w:cs="Arial"/>
          <w:lang w:val="en-US"/>
        </w:rPr>
        <w:t xml:space="preserve">unwarranted volatility and depreciation of the </w:t>
      </w:r>
      <w:r>
        <w:rPr>
          <w:rFonts w:ascii="Arial" w:hAnsi="Arial" w:cs="Arial"/>
          <w:lang w:val="en-US"/>
        </w:rPr>
        <w:t>exchange rate</w:t>
      </w:r>
      <w:r w:rsidR="007C3364">
        <w:rPr>
          <w:rFonts w:ascii="Arial" w:hAnsi="Arial" w:cs="Arial"/>
          <w:lang w:val="en-US"/>
        </w:rPr>
        <w:t>s</w:t>
      </w:r>
      <w:r>
        <w:rPr>
          <w:rFonts w:ascii="Arial" w:hAnsi="Arial" w:cs="Arial"/>
          <w:lang w:val="en-US"/>
        </w:rPr>
        <w:t xml:space="preserve"> in response to tightening global financial conditions.</w:t>
      </w:r>
    </w:p>
    <w:p w14:paraId="4BA3523C" w14:textId="77777777" w:rsidR="008762B4" w:rsidRDefault="008762B4" w:rsidP="008762B4">
      <w:pPr>
        <w:spacing w:after="120"/>
        <w:jc w:val="both"/>
        <w:rPr>
          <w:rFonts w:ascii="Arial" w:hAnsi="Arial" w:cs="Arial"/>
          <w:lang w:val="en-US"/>
        </w:rPr>
      </w:pPr>
    </w:p>
    <w:p w14:paraId="4E2AF362" w14:textId="655BA891" w:rsidR="006A54BB" w:rsidRPr="005A3F76" w:rsidRDefault="0020340B" w:rsidP="00D25303">
      <w:pPr>
        <w:pStyle w:val="Heading1"/>
        <w:numPr>
          <w:ilvl w:val="0"/>
          <w:numId w:val="10"/>
        </w:numPr>
        <w:spacing w:before="0" w:after="120" w:line="276" w:lineRule="auto"/>
        <w:ind w:left="0"/>
        <w:rPr>
          <w:rFonts w:ascii="Arial" w:hAnsi="Arial" w:cs="Arial"/>
          <w:sz w:val="22"/>
          <w:szCs w:val="22"/>
        </w:rPr>
      </w:pPr>
      <w:bookmarkStart w:id="27" w:name="_Toc70943222"/>
      <w:r w:rsidRPr="005A3F76">
        <w:rPr>
          <w:rFonts w:ascii="Arial" w:hAnsi="Arial" w:cs="Arial"/>
          <w:sz w:val="22"/>
          <w:szCs w:val="22"/>
        </w:rPr>
        <w:t xml:space="preserve">Medium Term Prospects and Recommendations </w:t>
      </w:r>
      <w:bookmarkEnd w:id="27"/>
    </w:p>
    <w:p w14:paraId="38223779" w14:textId="6C5E8F35" w:rsidR="001F205B" w:rsidRPr="00A03A60" w:rsidRDefault="007C3364">
      <w:pPr>
        <w:pStyle w:val="ListParagraph"/>
        <w:spacing w:after="120"/>
        <w:ind w:left="0"/>
        <w:jc w:val="both"/>
        <w:rPr>
          <w:rFonts w:ascii="Arial" w:hAnsi="Arial" w:cs="Arial"/>
          <w:lang w:val="en-US"/>
        </w:rPr>
      </w:pPr>
      <w:r w:rsidRPr="00A03A60">
        <w:rPr>
          <w:rFonts w:ascii="Arial" w:hAnsi="Arial" w:cs="Arial"/>
          <w:lang w:val="en-US"/>
        </w:rPr>
        <w:t xml:space="preserve">The region is facing a number of challenges including, among others, global slowdown in economic activities, </w:t>
      </w:r>
      <w:r w:rsidR="00A15190" w:rsidRPr="00A03A60">
        <w:rPr>
          <w:rFonts w:ascii="Arial" w:hAnsi="Arial" w:cs="Arial"/>
          <w:lang w:val="en-US"/>
        </w:rPr>
        <w:t xml:space="preserve">higher borrowing costs following </w:t>
      </w:r>
      <w:r w:rsidR="00A03A60" w:rsidRPr="00A03A60">
        <w:rPr>
          <w:rFonts w:ascii="Arial" w:hAnsi="Arial" w:cs="Arial"/>
          <w:lang w:val="en-US"/>
        </w:rPr>
        <w:t>tightening</w:t>
      </w:r>
      <w:r w:rsidR="00A15190" w:rsidRPr="00A03A60">
        <w:rPr>
          <w:rFonts w:ascii="Arial" w:hAnsi="Arial" w:cs="Arial"/>
          <w:lang w:val="en-US"/>
        </w:rPr>
        <w:t xml:space="preserve"> of monetary policies </w:t>
      </w:r>
      <w:r w:rsidRPr="00A03A60">
        <w:rPr>
          <w:rFonts w:ascii="Arial" w:hAnsi="Arial" w:cs="Arial"/>
          <w:lang w:val="en-US"/>
        </w:rPr>
        <w:t>and a global increase in inflation.</w:t>
      </w:r>
      <w:r w:rsidR="00A15190" w:rsidRPr="00A03A60">
        <w:rPr>
          <w:rFonts w:ascii="Arial" w:hAnsi="Arial" w:cs="Arial"/>
          <w:lang w:val="en-US"/>
        </w:rPr>
        <w:t xml:space="preserve"> Due to these challenges, </w:t>
      </w:r>
      <w:r w:rsidR="001F205B" w:rsidRPr="00A03A60">
        <w:rPr>
          <w:rFonts w:ascii="Arial" w:hAnsi="Arial" w:cs="Arial"/>
          <w:lang w:val="en-US"/>
        </w:rPr>
        <w:t xml:space="preserve">IMF projects inflation to stay above the pre pandemic level over the medium-term. Output levels, at the same time, remain depressed, and is projected to decline steadily for a second year in a row to 2023 at levels below the pre-pandemic level. The challenging external financing conditions continue to drive the funding squeeze, worsened by climate change, which is presenting additional spending pressures on shrinking fiscal budgets. Fending off these extraordinaire headwinds and uncertainties, amidst dwindling fiscal space, will require the </w:t>
      </w:r>
      <w:r w:rsidR="00A15190" w:rsidRPr="00A03A60">
        <w:rPr>
          <w:rFonts w:ascii="Arial" w:hAnsi="Arial" w:cs="Arial"/>
          <w:lang w:val="en-US"/>
        </w:rPr>
        <w:t xml:space="preserve">COMESA </w:t>
      </w:r>
      <w:r w:rsidR="001F205B" w:rsidRPr="00A03A60">
        <w:rPr>
          <w:rFonts w:ascii="Arial" w:hAnsi="Arial" w:cs="Arial"/>
          <w:lang w:val="en-US"/>
        </w:rPr>
        <w:t>region</w:t>
      </w:r>
      <w:r w:rsidR="0026513D" w:rsidRPr="00A03A60">
        <w:rPr>
          <w:rFonts w:ascii="Arial" w:hAnsi="Arial" w:cs="Arial"/>
          <w:lang w:val="en-US"/>
        </w:rPr>
        <w:t xml:space="preserve"> member</w:t>
      </w:r>
      <w:r w:rsidR="001F205B" w:rsidRPr="00A03A60">
        <w:rPr>
          <w:rFonts w:ascii="Arial" w:hAnsi="Arial" w:cs="Arial"/>
          <w:lang w:val="en-US"/>
        </w:rPr>
        <w:t xml:space="preserve"> countries </w:t>
      </w:r>
      <w:r w:rsidR="00A15190" w:rsidRPr="00A03A60">
        <w:rPr>
          <w:rFonts w:ascii="Arial" w:hAnsi="Arial" w:cs="Arial"/>
          <w:lang w:val="en-US"/>
        </w:rPr>
        <w:t>to, among others</w:t>
      </w:r>
      <w:r w:rsidR="001F205B" w:rsidRPr="00A03A60">
        <w:rPr>
          <w:rFonts w:ascii="Arial" w:hAnsi="Arial" w:cs="Arial"/>
          <w:lang w:val="en-US"/>
        </w:rPr>
        <w:t>:</w:t>
      </w:r>
    </w:p>
    <w:p w14:paraId="5F12E693" w14:textId="77777777" w:rsidR="0026513D" w:rsidRPr="00A15190" w:rsidRDefault="0026513D" w:rsidP="00EF5EA0">
      <w:pPr>
        <w:pStyle w:val="ListParagraph"/>
        <w:spacing w:after="120"/>
        <w:ind w:left="0"/>
        <w:jc w:val="both"/>
        <w:rPr>
          <w:rFonts w:ascii="Arial" w:hAnsi="Arial" w:cs="Arial"/>
          <w:sz w:val="24"/>
          <w:szCs w:val="24"/>
        </w:rPr>
      </w:pPr>
    </w:p>
    <w:p w14:paraId="059FE3D6" w14:textId="6001AEDE" w:rsidR="00703831" w:rsidRPr="00A03A60" w:rsidRDefault="00A15190" w:rsidP="001F205B">
      <w:pPr>
        <w:pStyle w:val="ListParagraph"/>
        <w:numPr>
          <w:ilvl w:val="0"/>
          <w:numId w:val="13"/>
        </w:numPr>
        <w:spacing w:after="120"/>
        <w:ind w:left="0"/>
        <w:jc w:val="both"/>
        <w:rPr>
          <w:rFonts w:ascii="Arial" w:hAnsi="Arial" w:cs="Arial"/>
          <w:lang w:val="en-US"/>
        </w:rPr>
      </w:pPr>
      <w:r w:rsidRPr="00A03A60">
        <w:rPr>
          <w:rFonts w:ascii="Arial" w:hAnsi="Arial" w:cs="Arial"/>
          <w:lang w:val="en-US"/>
        </w:rPr>
        <w:t>Take measures to bring inflation under</w:t>
      </w:r>
      <w:r w:rsidR="00A03A60">
        <w:rPr>
          <w:rFonts w:ascii="Arial" w:hAnsi="Arial" w:cs="Arial"/>
          <w:lang w:val="en-US"/>
        </w:rPr>
        <w:t xml:space="preserve"> </w:t>
      </w:r>
      <w:r w:rsidRPr="00A03A60">
        <w:rPr>
          <w:rFonts w:ascii="Arial" w:hAnsi="Arial" w:cs="Arial"/>
          <w:lang w:val="en-US"/>
        </w:rPr>
        <w:t xml:space="preserve">control while supporting economic recovery. </w:t>
      </w:r>
      <w:r w:rsidR="00D170FC" w:rsidRPr="00A03A60">
        <w:rPr>
          <w:rFonts w:ascii="Arial" w:hAnsi="Arial" w:cs="Arial"/>
          <w:lang w:val="en-US"/>
        </w:rPr>
        <w:t>T</w:t>
      </w:r>
      <w:r w:rsidR="002E48B3" w:rsidRPr="00A03A60">
        <w:rPr>
          <w:rFonts w:ascii="Arial" w:hAnsi="Arial" w:cs="Arial"/>
          <w:lang w:val="en-US"/>
        </w:rPr>
        <w:t>he current drivers of inflation are largely external (</w:t>
      </w:r>
      <w:r w:rsidR="00A03A60">
        <w:rPr>
          <w:rFonts w:ascii="Arial" w:hAnsi="Arial" w:cs="Arial"/>
          <w:lang w:val="en-US"/>
        </w:rPr>
        <w:t xml:space="preserve">particularly </w:t>
      </w:r>
      <w:r w:rsidR="002E48B3" w:rsidRPr="00A03A60">
        <w:rPr>
          <w:rFonts w:ascii="Arial" w:hAnsi="Arial" w:cs="Arial"/>
          <w:lang w:val="en-US"/>
        </w:rPr>
        <w:t xml:space="preserve">imported food and </w:t>
      </w:r>
      <w:r w:rsidR="0026513D" w:rsidRPr="00A03A60">
        <w:rPr>
          <w:rFonts w:ascii="Arial" w:hAnsi="Arial" w:cs="Arial"/>
          <w:lang w:val="en-US"/>
        </w:rPr>
        <w:t>fuel prices and</w:t>
      </w:r>
      <w:r w:rsidR="00A03A60">
        <w:rPr>
          <w:rFonts w:ascii="Arial" w:hAnsi="Arial" w:cs="Arial"/>
          <w:lang w:val="en-US"/>
        </w:rPr>
        <w:t>/</w:t>
      </w:r>
      <w:r w:rsidR="0026513D" w:rsidRPr="00A03A60">
        <w:rPr>
          <w:rFonts w:ascii="Arial" w:hAnsi="Arial" w:cs="Arial"/>
          <w:lang w:val="en-US"/>
        </w:rPr>
        <w:t xml:space="preserve"> or the effects of </w:t>
      </w:r>
      <w:r w:rsidR="002E48B3" w:rsidRPr="00A03A60">
        <w:rPr>
          <w:rFonts w:ascii="Arial" w:hAnsi="Arial" w:cs="Arial"/>
          <w:lang w:val="en-US"/>
        </w:rPr>
        <w:t>exchange rate pass</w:t>
      </w:r>
      <w:r w:rsidR="00A03A60">
        <w:rPr>
          <w:rFonts w:ascii="Arial" w:hAnsi="Arial" w:cs="Arial"/>
          <w:lang w:val="en-US"/>
        </w:rPr>
        <w:t>-</w:t>
      </w:r>
      <w:r w:rsidR="002E48B3" w:rsidRPr="00A03A60">
        <w:rPr>
          <w:rFonts w:ascii="Arial" w:hAnsi="Arial" w:cs="Arial"/>
          <w:lang w:val="en-US"/>
        </w:rPr>
        <w:t>through) rather than domestic demand pressures</w:t>
      </w:r>
      <w:r w:rsidR="003D2B6D" w:rsidRPr="00A03A60">
        <w:rPr>
          <w:rFonts w:ascii="Arial" w:hAnsi="Arial" w:cs="Arial"/>
          <w:lang w:val="en-US"/>
        </w:rPr>
        <w:t>, and have started to subside</w:t>
      </w:r>
      <w:r w:rsidR="00A03A60">
        <w:rPr>
          <w:rFonts w:ascii="Arial" w:hAnsi="Arial" w:cs="Arial"/>
          <w:lang w:val="en-US"/>
        </w:rPr>
        <w:t xml:space="preserve">. This implies </w:t>
      </w:r>
      <w:r w:rsidR="003D2B6D" w:rsidRPr="00A03A60">
        <w:rPr>
          <w:rFonts w:ascii="Arial" w:hAnsi="Arial" w:cs="Arial"/>
          <w:lang w:val="en-US"/>
        </w:rPr>
        <w:t xml:space="preserve">that inflation is likely to start declining in most of these economies, although with a lag. </w:t>
      </w:r>
      <w:r w:rsidR="00D170FC" w:rsidRPr="00A03A60">
        <w:rPr>
          <w:rFonts w:ascii="Arial" w:hAnsi="Arial" w:cs="Arial"/>
          <w:lang w:val="en-US"/>
        </w:rPr>
        <w:t xml:space="preserve">However, the decision to tighten monetary policy further or not </w:t>
      </w:r>
      <w:r w:rsidR="00A03A60">
        <w:rPr>
          <w:rFonts w:ascii="Arial" w:hAnsi="Arial" w:cs="Arial"/>
          <w:lang w:val="en-US"/>
        </w:rPr>
        <w:t xml:space="preserve">will be </w:t>
      </w:r>
      <w:r w:rsidR="00D170FC" w:rsidRPr="00A03A60">
        <w:rPr>
          <w:rFonts w:ascii="Arial" w:hAnsi="Arial" w:cs="Arial"/>
          <w:lang w:val="en-US"/>
        </w:rPr>
        <w:t>country specific depending on the evolution of inflation dynamics such as wage growth</w:t>
      </w:r>
      <w:r w:rsidR="00AE0A7D" w:rsidRPr="00A03A60">
        <w:rPr>
          <w:rFonts w:ascii="Arial" w:hAnsi="Arial" w:cs="Arial"/>
          <w:lang w:val="en-US"/>
        </w:rPr>
        <w:t xml:space="preserve"> and international food and energy price developments</w:t>
      </w:r>
      <w:r w:rsidR="002E48B3" w:rsidRPr="00A03A60">
        <w:rPr>
          <w:rFonts w:ascii="Arial" w:hAnsi="Arial" w:cs="Arial"/>
          <w:lang w:val="en-US"/>
        </w:rPr>
        <w:t>.</w:t>
      </w:r>
      <w:r w:rsidR="00703831" w:rsidRPr="00A03A60">
        <w:rPr>
          <w:rFonts w:ascii="Arial" w:hAnsi="Arial" w:cs="Arial"/>
          <w:lang w:val="en-US"/>
        </w:rPr>
        <w:t xml:space="preserve"> </w:t>
      </w:r>
    </w:p>
    <w:p w14:paraId="22F9C5EF" w14:textId="77777777" w:rsidR="00703831" w:rsidRPr="001F205B" w:rsidRDefault="00703831" w:rsidP="001F205B">
      <w:pPr>
        <w:pStyle w:val="ListParagraph"/>
        <w:spacing w:after="120"/>
        <w:ind w:left="0"/>
        <w:rPr>
          <w:rFonts w:ascii="Arial" w:hAnsi="Arial" w:cs="Arial"/>
          <w:sz w:val="24"/>
          <w:szCs w:val="24"/>
        </w:rPr>
      </w:pPr>
    </w:p>
    <w:p w14:paraId="5022565D" w14:textId="606CD79A" w:rsidR="00177A70" w:rsidRPr="00A03A60" w:rsidRDefault="00177A70" w:rsidP="001F205B">
      <w:pPr>
        <w:pStyle w:val="ListParagraph"/>
        <w:numPr>
          <w:ilvl w:val="0"/>
          <w:numId w:val="13"/>
        </w:numPr>
        <w:spacing w:after="120"/>
        <w:ind w:left="0"/>
        <w:jc w:val="both"/>
        <w:rPr>
          <w:rFonts w:ascii="Arial" w:hAnsi="Arial" w:cs="Arial"/>
          <w:lang w:val="en-US"/>
        </w:rPr>
      </w:pPr>
      <w:r w:rsidRPr="00A03A60">
        <w:rPr>
          <w:rFonts w:ascii="Arial" w:hAnsi="Arial" w:cs="Arial"/>
          <w:lang w:val="en-US"/>
        </w:rPr>
        <w:t>Most economies in the region are recently experiencing significant depreciation of the</w:t>
      </w:r>
      <w:r w:rsidR="00A03A60">
        <w:rPr>
          <w:rFonts w:ascii="Arial" w:hAnsi="Arial" w:cs="Arial"/>
          <w:lang w:val="en-US"/>
        </w:rPr>
        <w:t>i</w:t>
      </w:r>
      <w:r w:rsidRPr="00A03A60">
        <w:rPr>
          <w:rFonts w:ascii="Arial" w:hAnsi="Arial" w:cs="Arial"/>
          <w:lang w:val="en-US"/>
        </w:rPr>
        <w:t>r currencies due to</w:t>
      </w:r>
      <w:r w:rsidR="00A03A60">
        <w:rPr>
          <w:rFonts w:ascii="Arial" w:hAnsi="Arial" w:cs="Arial"/>
          <w:lang w:val="en-US"/>
        </w:rPr>
        <w:t>,</w:t>
      </w:r>
      <w:r w:rsidRPr="00A03A60">
        <w:rPr>
          <w:rFonts w:ascii="Arial" w:hAnsi="Arial" w:cs="Arial"/>
          <w:lang w:val="en-US"/>
        </w:rPr>
        <w:t xml:space="preserve"> among other, increases in interest rates in advanced </w:t>
      </w:r>
      <w:r w:rsidR="00A03A60">
        <w:rPr>
          <w:rFonts w:ascii="Arial" w:hAnsi="Arial" w:cs="Arial"/>
          <w:lang w:val="en-US"/>
        </w:rPr>
        <w:t xml:space="preserve">economies </w:t>
      </w:r>
      <w:r w:rsidRPr="00A03A60">
        <w:rPr>
          <w:rFonts w:ascii="Arial" w:hAnsi="Arial" w:cs="Arial"/>
          <w:lang w:val="en-US"/>
        </w:rPr>
        <w:t xml:space="preserve">and adverse terms of trade. The depreciation contributes to a significant rise in inflation and external debt burden. Most countries have responded through tightening of monetary policy, foreign exchange market </w:t>
      </w:r>
      <w:r w:rsidR="00BE0C69" w:rsidRPr="00A03A60">
        <w:rPr>
          <w:rFonts w:ascii="Arial" w:hAnsi="Arial" w:cs="Arial"/>
          <w:lang w:val="en-US"/>
        </w:rPr>
        <w:t>intervention</w:t>
      </w:r>
      <w:r w:rsidR="00BE0C69">
        <w:rPr>
          <w:rFonts w:ascii="Arial" w:hAnsi="Arial" w:cs="Arial"/>
          <w:lang w:val="en-US"/>
        </w:rPr>
        <w:t>s</w:t>
      </w:r>
      <w:r w:rsidR="00BE0C69" w:rsidRPr="00A03A60">
        <w:rPr>
          <w:rFonts w:ascii="Arial" w:hAnsi="Arial" w:cs="Arial"/>
          <w:lang w:val="en-US"/>
        </w:rPr>
        <w:t xml:space="preserve"> and</w:t>
      </w:r>
      <w:r w:rsidRPr="00A03A60">
        <w:rPr>
          <w:rFonts w:ascii="Arial" w:hAnsi="Arial" w:cs="Arial"/>
          <w:lang w:val="en-US"/>
        </w:rPr>
        <w:t xml:space="preserve"> administr</w:t>
      </w:r>
      <w:r w:rsidR="00BE0C69">
        <w:rPr>
          <w:rFonts w:ascii="Arial" w:hAnsi="Arial" w:cs="Arial"/>
          <w:lang w:val="en-US"/>
        </w:rPr>
        <w:t>a</w:t>
      </w:r>
      <w:r w:rsidRPr="00A03A60">
        <w:rPr>
          <w:rFonts w:ascii="Arial" w:hAnsi="Arial" w:cs="Arial"/>
          <w:lang w:val="en-US"/>
        </w:rPr>
        <w:t xml:space="preserve">tive measures to control foreign exchange rate flows. However, levels of reserves </w:t>
      </w:r>
      <w:r w:rsidR="00BE0C69" w:rsidRPr="00A03A60">
        <w:rPr>
          <w:rFonts w:ascii="Arial" w:hAnsi="Arial" w:cs="Arial"/>
          <w:lang w:val="en-US"/>
        </w:rPr>
        <w:t>limit</w:t>
      </w:r>
      <w:r w:rsidRPr="00A03A60">
        <w:rPr>
          <w:rFonts w:ascii="Arial" w:hAnsi="Arial" w:cs="Arial"/>
          <w:lang w:val="en-US"/>
        </w:rPr>
        <w:t xml:space="preserve"> the scope for for</w:t>
      </w:r>
      <w:r w:rsidR="00BE0C69">
        <w:rPr>
          <w:rFonts w:ascii="Arial" w:hAnsi="Arial" w:cs="Arial"/>
          <w:lang w:val="en-US"/>
        </w:rPr>
        <w:t>e</w:t>
      </w:r>
      <w:r w:rsidRPr="00A03A60">
        <w:rPr>
          <w:rFonts w:ascii="Arial" w:hAnsi="Arial" w:cs="Arial"/>
          <w:lang w:val="en-US"/>
        </w:rPr>
        <w:t xml:space="preserve">ign exchange intervention. While the exchange rate can act as an automatic stabilizer, policy actions may still be required to mitigate possible adverse impact </w:t>
      </w:r>
      <w:r w:rsidR="00983032" w:rsidRPr="00A03A60">
        <w:rPr>
          <w:rFonts w:ascii="Arial" w:hAnsi="Arial" w:cs="Arial"/>
          <w:lang w:val="en-US"/>
        </w:rPr>
        <w:t>on the economy of excessive and volatile exchange rate adjustment. For countries where exchange rate pass</w:t>
      </w:r>
      <w:r w:rsidR="00BE0C69">
        <w:rPr>
          <w:rFonts w:ascii="Arial" w:hAnsi="Arial" w:cs="Arial"/>
          <w:lang w:val="en-US"/>
        </w:rPr>
        <w:t>-</w:t>
      </w:r>
      <w:r w:rsidR="00983032" w:rsidRPr="00A03A60">
        <w:rPr>
          <w:rFonts w:ascii="Arial" w:hAnsi="Arial" w:cs="Arial"/>
          <w:lang w:val="en-US"/>
        </w:rPr>
        <w:t>through to domestic inflation is significant, tightening monetary policy can assist to contain further slide of the currency</w:t>
      </w:r>
      <w:r w:rsidR="00AF1ADE" w:rsidRPr="00A03A60">
        <w:rPr>
          <w:rFonts w:ascii="Arial" w:hAnsi="Arial" w:cs="Arial"/>
          <w:lang w:val="en-US"/>
        </w:rPr>
        <w:t xml:space="preserve"> and</w:t>
      </w:r>
      <w:r w:rsidR="00983032" w:rsidRPr="00A03A60">
        <w:rPr>
          <w:rFonts w:ascii="Arial" w:hAnsi="Arial" w:cs="Arial"/>
          <w:lang w:val="en-US"/>
        </w:rPr>
        <w:t xml:space="preserve"> stem capital out flow while at the same </w:t>
      </w:r>
      <w:r w:rsidR="00BE0C69" w:rsidRPr="00A03A60">
        <w:rPr>
          <w:rFonts w:ascii="Arial" w:hAnsi="Arial" w:cs="Arial"/>
          <w:lang w:val="en-US"/>
        </w:rPr>
        <w:t>anchoring inflation</w:t>
      </w:r>
      <w:r w:rsidR="00AF1ADE" w:rsidRPr="00A03A60">
        <w:rPr>
          <w:rFonts w:ascii="Arial" w:hAnsi="Arial" w:cs="Arial"/>
          <w:lang w:val="en-US"/>
        </w:rPr>
        <w:t xml:space="preserve"> expectations</w:t>
      </w:r>
      <w:r w:rsidR="00983032" w:rsidRPr="00A03A60">
        <w:rPr>
          <w:rFonts w:ascii="Arial" w:hAnsi="Arial" w:cs="Arial"/>
          <w:lang w:val="en-US"/>
        </w:rPr>
        <w:t xml:space="preserve">. </w:t>
      </w:r>
      <w:r w:rsidR="00BC0BBE" w:rsidRPr="00A03A60">
        <w:rPr>
          <w:rFonts w:ascii="Arial" w:hAnsi="Arial" w:cs="Arial"/>
          <w:lang w:val="en-US"/>
        </w:rPr>
        <w:t xml:space="preserve">For countries where fiscal imbalances are the source of exchange rate pressure, fiscal consolidation can assist </w:t>
      </w:r>
      <w:r w:rsidR="00BE0C69">
        <w:rPr>
          <w:rFonts w:ascii="Arial" w:hAnsi="Arial" w:cs="Arial"/>
          <w:lang w:val="en-US"/>
        </w:rPr>
        <w:t xml:space="preserve">to </w:t>
      </w:r>
      <w:r w:rsidR="00BC0BBE" w:rsidRPr="00A03A60">
        <w:rPr>
          <w:rFonts w:ascii="Arial" w:hAnsi="Arial" w:cs="Arial"/>
          <w:lang w:val="en-US"/>
        </w:rPr>
        <w:t xml:space="preserve">contain the increase in debt related to currency adjustment. For countries with sufficient foreign exchange reserves, </w:t>
      </w:r>
      <w:r w:rsidR="00565099" w:rsidRPr="00A03A60">
        <w:rPr>
          <w:rFonts w:ascii="Arial" w:hAnsi="Arial" w:cs="Arial"/>
          <w:lang w:val="en-US"/>
        </w:rPr>
        <w:t xml:space="preserve">foreign exchange </w:t>
      </w:r>
      <w:r w:rsidR="00BC0BBE" w:rsidRPr="00A03A60">
        <w:rPr>
          <w:rFonts w:ascii="Arial" w:hAnsi="Arial" w:cs="Arial"/>
          <w:lang w:val="en-US"/>
        </w:rPr>
        <w:t xml:space="preserve">intervention can reduce the volatility of the exchange rate, but at the risk of depleting foreign reserves if the exchange rate pressures persist because of underlying </w:t>
      </w:r>
      <w:r w:rsidR="0026513D" w:rsidRPr="00A03A60">
        <w:rPr>
          <w:rFonts w:ascii="Arial" w:hAnsi="Arial" w:cs="Arial"/>
          <w:lang w:val="en-US"/>
        </w:rPr>
        <w:t xml:space="preserve">economic </w:t>
      </w:r>
      <w:r w:rsidR="00BC0BBE" w:rsidRPr="00A03A60">
        <w:rPr>
          <w:rFonts w:ascii="Arial" w:hAnsi="Arial" w:cs="Arial"/>
          <w:lang w:val="en-US"/>
        </w:rPr>
        <w:t>fundamental</w:t>
      </w:r>
      <w:r w:rsidR="0026513D" w:rsidRPr="00A03A60">
        <w:rPr>
          <w:rFonts w:ascii="Arial" w:hAnsi="Arial" w:cs="Arial"/>
          <w:lang w:val="en-US"/>
        </w:rPr>
        <w:t>s</w:t>
      </w:r>
      <w:r w:rsidR="00BC0BBE" w:rsidRPr="00A03A60">
        <w:rPr>
          <w:rFonts w:ascii="Arial" w:hAnsi="Arial" w:cs="Arial"/>
          <w:lang w:val="en-US"/>
        </w:rPr>
        <w:t xml:space="preserve">. </w:t>
      </w:r>
    </w:p>
    <w:p w14:paraId="50581F00" w14:textId="77777777" w:rsidR="00177A70" w:rsidRPr="00EF5EA0" w:rsidRDefault="00177A70" w:rsidP="00EF5EA0">
      <w:pPr>
        <w:pStyle w:val="ListParagraph"/>
        <w:rPr>
          <w:rFonts w:ascii="Arial" w:hAnsi="Arial" w:cs="Arial"/>
          <w:sz w:val="24"/>
          <w:szCs w:val="24"/>
        </w:rPr>
      </w:pPr>
    </w:p>
    <w:p w14:paraId="362DF55A" w14:textId="2B3E273E" w:rsidR="00B4009A" w:rsidRPr="00BE0C69" w:rsidRDefault="004F283C" w:rsidP="001F205B">
      <w:pPr>
        <w:pStyle w:val="ListParagraph"/>
        <w:numPr>
          <w:ilvl w:val="0"/>
          <w:numId w:val="13"/>
        </w:numPr>
        <w:spacing w:after="120"/>
        <w:ind w:left="0"/>
        <w:jc w:val="both"/>
        <w:rPr>
          <w:rFonts w:ascii="Arial" w:hAnsi="Arial" w:cs="Arial"/>
          <w:lang w:val="en-US"/>
        </w:rPr>
      </w:pPr>
      <w:r w:rsidRPr="00BE0C69">
        <w:rPr>
          <w:rFonts w:ascii="Arial" w:hAnsi="Arial" w:cs="Arial"/>
          <w:lang w:val="en-US"/>
        </w:rPr>
        <w:t>To a</w:t>
      </w:r>
      <w:r w:rsidR="003B2243" w:rsidRPr="00BE0C69">
        <w:rPr>
          <w:rFonts w:ascii="Arial" w:hAnsi="Arial" w:cs="Arial"/>
          <w:lang w:val="en-US"/>
        </w:rPr>
        <w:t>dapt to an environment with tighter financing conditions</w:t>
      </w:r>
      <w:r w:rsidR="00D25303" w:rsidRPr="00BE0C69">
        <w:rPr>
          <w:rFonts w:ascii="Arial" w:hAnsi="Arial" w:cs="Arial"/>
          <w:lang w:val="en-US"/>
        </w:rPr>
        <w:t xml:space="preserve"> while aiming to p</w:t>
      </w:r>
      <w:r w:rsidR="00317F44" w:rsidRPr="00BE0C69">
        <w:rPr>
          <w:rFonts w:ascii="Arial" w:hAnsi="Arial" w:cs="Arial"/>
          <w:lang w:val="en-US"/>
        </w:rPr>
        <w:t>reserv</w:t>
      </w:r>
      <w:r w:rsidR="00D25303" w:rsidRPr="00BE0C69">
        <w:rPr>
          <w:rFonts w:ascii="Arial" w:hAnsi="Arial" w:cs="Arial"/>
          <w:lang w:val="en-US"/>
        </w:rPr>
        <w:t xml:space="preserve">e </w:t>
      </w:r>
      <w:r w:rsidR="00317F44" w:rsidRPr="00BE0C69">
        <w:rPr>
          <w:rFonts w:ascii="Arial" w:hAnsi="Arial" w:cs="Arial"/>
          <w:lang w:val="en-US"/>
        </w:rPr>
        <w:t>fiscal sustainability</w:t>
      </w:r>
      <w:r w:rsidR="00D25303" w:rsidRPr="00BE0C69">
        <w:rPr>
          <w:rFonts w:ascii="Arial" w:hAnsi="Arial" w:cs="Arial"/>
          <w:lang w:val="en-US"/>
        </w:rPr>
        <w:t xml:space="preserve">. This will </w:t>
      </w:r>
      <w:r w:rsidR="00317F44" w:rsidRPr="00BE0C69">
        <w:rPr>
          <w:rFonts w:ascii="Arial" w:hAnsi="Arial" w:cs="Arial"/>
          <w:lang w:val="en-US"/>
        </w:rPr>
        <w:t>require countries</w:t>
      </w:r>
      <w:r w:rsidR="00E86202" w:rsidRPr="00BE0C69">
        <w:rPr>
          <w:rFonts w:ascii="Arial" w:hAnsi="Arial" w:cs="Arial"/>
          <w:lang w:val="en-US"/>
        </w:rPr>
        <w:t xml:space="preserve"> to double efforts at boosting revenue mobilization</w:t>
      </w:r>
      <w:r w:rsidR="00D25303" w:rsidRPr="00BE0C69">
        <w:rPr>
          <w:rFonts w:ascii="Arial" w:hAnsi="Arial" w:cs="Arial"/>
          <w:lang w:val="en-US"/>
        </w:rPr>
        <w:t>,</w:t>
      </w:r>
      <w:r w:rsidR="00317F44" w:rsidRPr="00BE0C69">
        <w:rPr>
          <w:rFonts w:ascii="Arial" w:hAnsi="Arial" w:cs="Arial"/>
          <w:lang w:val="en-US"/>
        </w:rPr>
        <w:t xml:space="preserve"> and </w:t>
      </w:r>
      <w:r w:rsidR="00E86202" w:rsidRPr="00BE0C69">
        <w:rPr>
          <w:rFonts w:ascii="Arial" w:hAnsi="Arial" w:cs="Arial"/>
          <w:lang w:val="en-US"/>
        </w:rPr>
        <w:t>prioritiz</w:t>
      </w:r>
      <w:r w:rsidR="00317F44" w:rsidRPr="00BE0C69">
        <w:rPr>
          <w:rFonts w:ascii="Arial" w:hAnsi="Arial" w:cs="Arial"/>
          <w:lang w:val="en-US"/>
        </w:rPr>
        <w:t xml:space="preserve">e </w:t>
      </w:r>
      <w:r w:rsidR="00E86202" w:rsidRPr="00BE0C69">
        <w:rPr>
          <w:rFonts w:ascii="Arial" w:hAnsi="Arial" w:cs="Arial"/>
          <w:lang w:val="en-US"/>
        </w:rPr>
        <w:t>and increas</w:t>
      </w:r>
      <w:r w:rsidR="00317F44" w:rsidRPr="00BE0C69">
        <w:rPr>
          <w:rFonts w:ascii="Arial" w:hAnsi="Arial" w:cs="Arial"/>
          <w:lang w:val="en-US"/>
        </w:rPr>
        <w:t xml:space="preserve">e </w:t>
      </w:r>
      <w:r w:rsidR="00E86202" w:rsidRPr="00BE0C69">
        <w:rPr>
          <w:rFonts w:ascii="Arial" w:hAnsi="Arial" w:cs="Arial"/>
          <w:lang w:val="en-US"/>
        </w:rPr>
        <w:t xml:space="preserve">the efficiency of spending where possible, while minimizing possible negative impacts on growth and poverty. </w:t>
      </w:r>
      <w:r w:rsidR="00D25303" w:rsidRPr="00BE0C69">
        <w:rPr>
          <w:rFonts w:ascii="Arial" w:hAnsi="Arial" w:cs="Arial"/>
          <w:lang w:val="en-US"/>
        </w:rPr>
        <w:t>B</w:t>
      </w:r>
      <w:r w:rsidR="00317F44" w:rsidRPr="00BE0C69">
        <w:rPr>
          <w:rFonts w:ascii="Arial" w:hAnsi="Arial" w:cs="Arial"/>
          <w:lang w:val="en-US"/>
        </w:rPr>
        <w:t>oosting revenue mobilization</w:t>
      </w:r>
      <w:r w:rsidR="00D25303" w:rsidRPr="00BE0C69">
        <w:rPr>
          <w:rFonts w:ascii="Arial" w:hAnsi="Arial" w:cs="Arial"/>
          <w:lang w:val="en-US"/>
        </w:rPr>
        <w:t xml:space="preserve">, in particular, </w:t>
      </w:r>
      <w:r w:rsidR="00317F44" w:rsidRPr="00BE0C69">
        <w:rPr>
          <w:rFonts w:ascii="Arial" w:hAnsi="Arial" w:cs="Arial"/>
          <w:lang w:val="en-US"/>
        </w:rPr>
        <w:t xml:space="preserve">can </w:t>
      </w:r>
      <w:r w:rsidR="00D25303" w:rsidRPr="00BE0C69">
        <w:rPr>
          <w:rFonts w:ascii="Arial" w:hAnsi="Arial" w:cs="Arial"/>
          <w:lang w:val="en-US"/>
        </w:rPr>
        <w:t xml:space="preserve">help </w:t>
      </w:r>
      <w:r w:rsidR="00317F44" w:rsidRPr="00BE0C69">
        <w:rPr>
          <w:rFonts w:ascii="Arial" w:hAnsi="Arial" w:cs="Arial"/>
          <w:lang w:val="en-US"/>
        </w:rPr>
        <w:t xml:space="preserve">attract more external financing as a country’s revenue stream is </w:t>
      </w:r>
      <w:r w:rsidR="0026513D" w:rsidRPr="00BE0C69">
        <w:rPr>
          <w:rFonts w:ascii="Arial" w:hAnsi="Arial" w:cs="Arial"/>
          <w:lang w:val="en-US"/>
        </w:rPr>
        <w:t xml:space="preserve">the </w:t>
      </w:r>
      <w:r w:rsidR="00317F44" w:rsidRPr="00BE0C69">
        <w:rPr>
          <w:rFonts w:ascii="Arial" w:hAnsi="Arial" w:cs="Arial"/>
          <w:lang w:val="en-US"/>
        </w:rPr>
        <w:t xml:space="preserve">main metric for its debt repayment capacity. </w:t>
      </w:r>
      <w:r w:rsidR="008A342D" w:rsidRPr="00BE0C69">
        <w:rPr>
          <w:rFonts w:ascii="Arial" w:hAnsi="Arial" w:cs="Arial"/>
          <w:lang w:val="en-US"/>
        </w:rPr>
        <w:t>However, i</w:t>
      </w:r>
      <w:r w:rsidR="00317F44" w:rsidRPr="00BE0C69">
        <w:rPr>
          <w:rFonts w:ascii="Arial" w:hAnsi="Arial" w:cs="Arial"/>
          <w:lang w:val="en-US"/>
        </w:rPr>
        <w:t xml:space="preserve">n the near-term, </w:t>
      </w:r>
      <w:r w:rsidR="00E45B81" w:rsidRPr="00BE0C69">
        <w:rPr>
          <w:rFonts w:ascii="Arial" w:hAnsi="Arial" w:cs="Arial"/>
          <w:lang w:val="en-US"/>
        </w:rPr>
        <w:t xml:space="preserve">authorities will struggle to </w:t>
      </w:r>
      <w:r w:rsidR="008A342D" w:rsidRPr="00BE0C69">
        <w:rPr>
          <w:rFonts w:ascii="Arial" w:hAnsi="Arial" w:cs="Arial"/>
          <w:lang w:val="en-US"/>
        </w:rPr>
        <w:t xml:space="preserve">secure external </w:t>
      </w:r>
      <w:r w:rsidR="008A342D" w:rsidRPr="00BE0C69">
        <w:rPr>
          <w:rFonts w:ascii="Arial" w:hAnsi="Arial" w:cs="Arial"/>
          <w:lang w:val="en-US"/>
        </w:rPr>
        <w:lastRenderedPageBreak/>
        <w:t>financing and debt vulnerabilities are likely to worsen in the current environment of rising borrowing and debt servicing costs</w:t>
      </w:r>
      <w:r w:rsidR="00B4009A" w:rsidRPr="00BE0C69">
        <w:rPr>
          <w:rFonts w:ascii="Arial" w:hAnsi="Arial" w:cs="Arial"/>
          <w:lang w:val="en-US"/>
        </w:rPr>
        <w:t>.</w:t>
      </w:r>
    </w:p>
    <w:p w14:paraId="1C2A4BC6" w14:textId="77777777" w:rsidR="00B4009A" w:rsidRPr="00BE0C69" w:rsidRDefault="00B4009A" w:rsidP="00EF5EA0">
      <w:pPr>
        <w:pStyle w:val="ListParagraph"/>
        <w:rPr>
          <w:rFonts w:ascii="Arial" w:hAnsi="Arial" w:cs="Arial"/>
          <w:lang w:val="en-US"/>
        </w:rPr>
      </w:pPr>
    </w:p>
    <w:p w14:paraId="2B58E372" w14:textId="30C40316" w:rsidR="00E86202" w:rsidRPr="00BE0C69" w:rsidRDefault="00B4009A" w:rsidP="001F205B">
      <w:pPr>
        <w:pStyle w:val="ListParagraph"/>
        <w:numPr>
          <w:ilvl w:val="0"/>
          <w:numId w:val="13"/>
        </w:numPr>
        <w:spacing w:after="120"/>
        <w:ind w:left="0"/>
        <w:jc w:val="both"/>
        <w:rPr>
          <w:rFonts w:ascii="Arial" w:hAnsi="Arial" w:cs="Arial"/>
          <w:lang w:val="en-US"/>
        </w:rPr>
      </w:pPr>
      <w:r w:rsidRPr="00BE0C69">
        <w:rPr>
          <w:rFonts w:ascii="Arial" w:hAnsi="Arial" w:cs="Arial"/>
          <w:lang w:val="en-US"/>
        </w:rPr>
        <w:t xml:space="preserve">Managing fiscal risks against the background of funding squeeze will be important for fiscal and debt sustainability. This will require among others, the ability to contain increased temptation for the government to accumulate arrears and off budget spending pressure, and ever increasing appetite to extend guarantee and contingent liabilities. This calls for better public finance management practices and better risk management in order to improve debt dynamics, including fiscal transparency and oversight of state-owned enterprises.  </w:t>
      </w:r>
      <w:r w:rsidR="00317F44" w:rsidRPr="00BE0C69">
        <w:rPr>
          <w:rFonts w:ascii="Arial" w:hAnsi="Arial" w:cs="Arial"/>
          <w:lang w:val="en-US"/>
        </w:rPr>
        <w:t xml:space="preserve">    </w:t>
      </w:r>
    </w:p>
    <w:p w14:paraId="66A5C044" w14:textId="77777777" w:rsidR="007B60DE" w:rsidRPr="00BE0C69" w:rsidRDefault="007B60DE" w:rsidP="001F205B">
      <w:pPr>
        <w:pStyle w:val="ListParagraph"/>
        <w:spacing w:after="120"/>
        <w:ind w:left="0"/>
        <w:jc w:val="both"/>
        <w:rPr>
          <w:rFonts w:ascii="Arial" w:hAnsi="Arial" w:cs="Arial"/>
          <w:lang w:val="en-US"/>
        </w:rPr>
      </w:pPr>
    </w:p>
    <w:p w14:paraId="56BF5CEB" w14:textId="4A1EBCF2" w:rsidR="00703831" w:rsidRPr="00BE0C69" w:rsidRDefault="00703831" w:rsidP="006E6892">
      <w:pPr>
        <w:pStyle w:val="ListParagraph"/>
        <w:numPr>
          <w:ilvl w:val="0"/>
          <w:numId w:val="13"/>
        </w:numPr>
        <w:spacing w:after="120"/>
        <w:ind w:left="0"/>
        <w:jc w:val="both"/>
        <w:rPr>
          <w:rFonts w:ascii="Arial" w:hAnsi="Arial" w:cs="Arial"/>
          <w:lang w:val="en-US"/>
        </w:rPr>
      </w:pPr>
      <w:r w:rsidRPr="00BE0C69">
        <w:rPr>
          <w:rFonts w:ascii="Arial" w:hAnsi="Arial" w:cs="Arial"/>
          <w:lang w:val="en-US"/>
        </w:rPr>
        <w:t xml:space="preserve">For some countries </w:t>
      </w:r>
      <w:r w:rsidR="00D25303" w:rsidRPr="00BE0C69">
        <w:rPr>
          <w:rFonts w:ascii="Arial" w:hAnsi="Arial" w:cs="Arial"/>
          <w:lang w:val="en-US"/>
        </w:rPr>
        <w:t xml:space="preserve">faced with </w:t>
      </w:r>
      <w:r w:rsidRPr="00BE0C69">
        <w:rPr>
          <w:rFonts w:ascii="Arial" w:hAnsi="Arial" w:cs="Arial"/>
          <w:lang w:val="en-US"/>
        </w:rPr>
        <w:t>aggravated debt vulnerabilities</w:t>
      </w:r>
      <w:r w:rsidR="004F283C" w:rsidRPr="00BE0C69">
        <w:rPr>
          <w:rFonts w:ascii="Arial" w:hAnsi="Arial" w:cs="Arial"/>
          <w:lang w:val="en-US"/>
        </w:rPr>
        <w:t xml:space="preserve"> /</w:t>
      </w:r>
      <w:r w:rsidR="00D25303" w:rsidRPr="00BE0C69">
        <w:rPr>
          <w:rFonts w:ascii="Arial" w:hAnsi="Arial" w:cs="Arial"/>
          <w:lang w:val="en-US"/>
        </w:rPr>
        <w:t>or are likely to experience</w:t>
      </w:r>
      <w:r w:rsidRPr="00BE0C69">
        <w:rPr>
          <w:rFonts w:ascii="Arial" w:hAnsi="Arial" w:cs="Arial"/>
          <w:lang w:val="en-US"/>
        </w:rPr>
        <w:t xml:space="preserve"> </w:t>
      </w:r>
      <w:r w:rsidR="00D25303" w:rsidRPr="00BE0C69">
        <w:rPr>
          <w:rFonts w:ascii="Arial" w:hAnsi="Arial" w:cs="Arial"/>
          <w:lang w:val="en-US"/>
        </w:rPr>
        <w:t xml:space="preserve">the same </w:t>
      </w:r>
      <w:r w:rsidRPr="00BE0C69">
        <w:rPr>
          <w:rFonts w:ascii="Arial" w:hAnsi="Arial" w:cs="Arial"/>
          <w:lang w:val="en-US"/>
        </w:rPr>
        <w:t>and require debt reprofiling or restructuring, a well-functioning debt-resolution framework is vital</w:t>
      </w:r>
      <w:r w:rsidR="004F283C" w:rsidRPr="00BE0C69">
        <w:rPr>
          <w:rFonts w:ascii="Arial" w:hAnsi="Arial" w:cs="Arial"/>
          <w:lang w:val="en-US"/>
        </w:rPr>
        <w:t xml:space="preserve"> if they are to </w:t>
      </w:r>
      <w:r w:rsidRPr="00BE0C69">
        <w:rPr>
          <w:rFonts w:ascii="Arial" w:hAnsi="Arial" w:cs="Arial"/>
          <w:lang w:val="en-US"/>
        </w:rPr>
        <w:t>creat</w:t>
      </w:r>
      <w:r w:rsidR="004F283C" w:rsidRPr="00BE0C69">
        <w:rPr>
          <w:rFonts w:ascii="Arial" w:hAnsi="Arial" w:cs="Arial"/>
          <w:lang w:val="en-US"/>
        </w:rPr>
        <w:t xml:space="preserve">e the much-needed </w:t>
      </w:r>
      <w:r w:rsidRPr="00BE0C69">
        <w:rPr>
          <w:rFonts w:ascii="Arial" w:hAnsi="Arial" w:cs="Arial"/>
          <w:lang w:val="en-US"/>
        </w:rPr>
        <w:t xml:space="preserve">fiscal space. </w:t>
      </w:r>
      <w:r w:rsidR="004F283C" w:rsidRPr="00BE0C69">
        <w:rPr>
          <w:rFonts w:ascii="Arial" w:hAnsi="Arial" w:cs="Arial"/>
          <w:lang w:val="en-US"/>
        </w:rPr>
        <w:t>Countries have widened t</w:t>
      </w:r>
      <w:r w:rsidRPr="00BE0C69">
        <w:rPr>
          <w:rFonts w:ascii="Arial" w:hAnsi="Arial" w:cs="Arial"/>
          <w:lang w:val="en-US"/>
        </w:rPr>
        <w:t xml:space="preserve">he variety of debt </w:t>
      </w:r>
      <w:r w:rsidR="004F283C" w:rsidRPr="00BE0C69">
        <w:rPr>
          <w:rFonts w:ascii="Arial" w:hAnsi="Arial" w:cs="Arial"/>
          <w:lang w:val="en-US"/>
        </w:rPr>
        <w:t>instruments;</w:t>
      </w:r>
      <w:r w:rsidRPr="00BE0C69">
        <w:rPr>
          <w:rFonts w:ascii="Arial" w:hAnsi="Arial" w:cs="Arial"/>
          <w:lang w:val="en-US"/>
        </w:rPr>
        <w:t xml:space="preserve"> the creditor base has also become more diversified</w:t>
      </w:r>
      <w:r w:rsidR="004F283C" w:rsidRPr="00BE0C69">
        <w:rPr>
          <w:rFonts w:ascii="Arial" w:hAnsi="Arial" w:cs="Arial"/>
          <w:lang w:val="en-US"/>
        </w:rPr>
        <w:t>;</w:t>
      </w:r>
      <w:r w:rsidRPr="00BE0C69">
        <w:rPr>
          <w:rFonts w:ascii="Arial" w:hAnsi="Arial" w:cs="Arial"/>
          <w:lang w:val="en-US"/>
        </w:rPr>
        <w:t xml:space="preserve"> and negotiations more complex.</w:t>
      </w:r>
      <w:r w:rsidR="0073096E" w:rsidRPr="00BE0C69">
        <w:rPr>
          <w:rFonts w:ascii="Arial" w:hAnsi="Arial" w:cs="Arial"/>
          <w:lang w:val="en-US"/>
        </w:rPr>
        <w:t xml:space="preserve"> In this environment, it is crucial that creditors increase their reliability and predictability, co-ordinate credit delivery systems and also make it more transparent and</w:t>
      </w:r>
      <w:r w:rsidRPr="00BE0C69">
        <w:rPr>
          <w:rFonts w:ascii="Arial" w:hAnsi="Arial" w:cs="Arial"/>
          <w:lang w:val="en-US"/>
        </w:rPr>
        <w:t xml:space="preserve"> introduc</w:t>
      </w:r>
      <w:r w:rsidR="0073096E" w:rsidRPr="00BE0C69">
        <w:rPr>
          <w:rFonts w:ascii="Arial" w:hAnsi="Arial" w:cs="Arial"/>
          <w:lang w:val="en-US"/>
        </w:rPr>
        <w:t xml:space="preserve">e </w:t>
      </w:r>
      <w:r w:rsidRPr="00BE0C69">
        <w:rPr>
          <w:rFonts w:ascii="Arial" w:hAnsi="Arial" w:cs="Arial"/>
          <w:lang w:val="en-US"/>
        </w:rPr>
        <w:t>a standstill on debt service during the debt treatment process.</w:t>
      </w:r>
      <w:r w:rsidR="004F283C" w:rsidRPr="00BE0C69">
        <w:rPr>
          <w:rFonts w:ascii="Arial" w:hAnsi="Arial" w:cs="Arial"/>
          <w:lang w:val="en-US"/>
        </w:rPr>
        <w:t xml:space="preserve"> </w:t>
      </w:r>
      <w:r w:rsidR="0026513D" w:rsidRPr="00BE0C69">
        <w:rPr>
          <w:rFonts w:ascii="Arial" w:hAnsi="Arial" w:cs="Arial"/>
          <w:lang w:val="en-US"/>
        </w:rPr>
        <w:t xml:space="preserve">It’s vital for creditors to implement a well-functioning “debt-resolution framework” as reached by government’s staff-level agreement with the IMF for countries faced with aggravated debt vulnerabilities and require debt reprofiling or restructuring, to create fiscal space. Coordination among creditors has been and remain challenging. Aid processes need to be predictable and timelier, and creditors and the international financial institutions need to enhance earlier sharing of information, and introduce a standstill on debt service. </w:t>
      </w:r>
      <w:r w:rsidRPr="00BE0C69">
        <w:rPr>
          <w:rFonts w:ascii="Arial" w:hAnsi="Arial" w:cs="Arial"/>
          <w:lang w:val="en-US"/>
        </w:rPr>
        <w:t xml:space="preserve">Effective and proactive debt management is critical to lowering debt risks. Debt management can help strike the balance between funding the government’s needs and ensuring that debt levels remain sustainable. This includes enhancing debt reporting, lengthening maturities, and avoiding bunching of repayments to mitigate refinancing risks. </w:t>
      </w:r>
    </w:p>
    <w:p w14:paraId="60A5E141" w14:textId="77777777" w:rsidR="00703831" w:rsidRPr="00BE0C69" w:rsidRDefault="00703831" w:rsidP="001F205B">
      <w:pPr>
        <w:pStyle w:val="ListParagraph"/>
        <w:autoSpaceDE w:val="0"/>
        <w:autoSpaceDN w:val="0"/>
        <w:adjustRightInd w:val="0"/>
        <w:spacing w:after="120"/>
        <w:ind w:left="0"/>
        <w:jc w:val="both"/>
        <w:rPr>
          <w:rFonts w:ascii="Arial" w:hAnsi="Arial" w:cs="Arial"/>
          <w:lang w:val="en-US"/>
        </w:rPr>
      </w:pPr>
    </w:p>
    <w:p w14:paraId="30EB0640" w14:textId="77777777" w:rsidR="007F61B6" w:rsidRPr="00BE0C69" w:rsidRDefault="00E47A96" w:rsidP="001F205B">
      <w:pPr>
        <w:pStyle w:val="ListParagraph"/>
        <w:numPr>
          <w:ilvl w:val="0"/>
          <w:numId w:val="13"/>
        </w:numPr>
        <w:spacing w:after="120"/>
        <w:ind w:left="0"/>
        <w:jc w:val="both"/>
        <w:rPr>
          <w:rFonts w:ascii="Arial" w:hAnsi="Arial" w:cs="Arial"/>
          <w:lang w:val="en-US"/>
        </w:rPr>
      </w:pPr>
      <w:r w:rsidRPr="00BE0C69">
        <w:rPr>
          <w:rFonts w:ascii="Arial" w:hAnsi="Arial" w:cs="Arial"/>
          <w:lang w:val="en-US"/>
        </w:rPr>
        <w:t>In the medium term, s</w:t>
      </w:r>
      <w:r w:rsidR="001D3A63" w:rsidRPr="00BE0C69">
        <w:rPr>
          <w:rFonts w:ascii="Arial" w:hAnsi="Arial" w:cs="Arial"/>
          <w:lang w:val="en-US"/>
        </w:rPr>
        <w:t>tructural transformation and economic diversification of individual economies in the region</w:t>
      </w:r>
      <w:r w:rsidRPr="00BE0C69">
        <w:rPr>
          <w:rFonts w:ascii="Arial" w:hAnsi="Arial" w:cs="Arial"/>
          <w:lang w:val="en-US"/>
        </w:rPr>
        <w:t xml:space="preserve"> will be crucial</w:t>
      </w:r>
      <w:r w:rsidR="007F61B6" w:rsidRPr="00BE0C69">
        <w:rPr>
          <w:rFonts w:ascii="Arial" w:hAnsi="Arial" w:cs="Arial"/>
          <w:lang w:val="en-US"/>
        </w:rPr>
        <w:t>, particularly reforms that raise potential growth by bolstering private sector development and increasing the benefits from trade.</w:t>
      </w:r>
    </w:p>
    <w:p w14:paraId="435BA5E8" w14:textId="77777777" w:rsidR="007F61B6" w:rsidRPr="00BE0C69" w:rsidRDefault="007F61B6" w:rsidP="001F205B">
      <w:pPr>
        <w:pStyle w:val="ListParagraph"/>
        <w:spacing w:after="120"/>
        <w:ind w:left="0"/>
        <w:rPr>
          <w:rFonts w:ascii="Arial" w:hAnsi="Arial" w:cs="Arial"/>
          <w:lang w:val="en-US"/>
        </w:rPr>
      </w:pPr>
    </w:p>
    <w:p w14:paraId="29DC93E5" w14:textId="12021F6C" w:rsidR="007B60DE" w:rsidRPr="00BE0C69" w:rsidRDefault="007F61B6" w:rsidP="001F205B">
      <w:pPr>
        <w:pStyle w:val="ListParagraph"/>
        <w:numPr>
          <w:ilvl w:val="0"/>
          <w:numId w:val="13"/>
        </w:numPr>
        <w:spacing w:after="120"/>
        <w:ind w:left="0"/>
        <w:jc w:val="both"/>
        <w:rPr>
          <w:rFonts w:ascii="Arial" w:hAnsi="Arial" w:cs="Arial"/>
          <w:lang w:val="en-US"/>
        </w:rPr>
      </w:pPr>
      <w:r w:rsidRPr="00BE0C69">
        <w:rPr>
          <w:rFonts w:ascii="Arial" w:hAnsi="Arial" w:cs="Arial"/>
          <w:lang w:val="en-US"/>
        </w:rPr>
        <w:t xml:space="preserve">The dislocation of trade routes and supply chain disruptions that followed the war in Ukraine highlight the importance of expediting efforts that actively pursue </w:t>
      </w:r>
      <w:r w:rsidR="00B4009A" w:rsidRPr="00BE0C69">
        <w:rPr>
          <w:rFonts w:ascii="Arial" w:hAnsi="Arial" w:cs="Arial"/>
          <w:lang w:val="en-US"/>
        </w:rPr>
        <w:t xml:space="preserve">economic </w:t>
      </w:r>
      <w:r w:rsidRPr="00BE0C69">
        <w:rPr>
          <w:rFonts w:ascii="Arial" w:hAnsi="Arial" w:cs="Arial"/>
          <w:lang w:val="en-US"/>
        </w:rPr>
        <w:t xml:space="preserve">diversification and reduction of distortionary trade </w:t>
      </w:r>
      <w:r w:rsidR="00BE0C69">
        <w:rPr>
          <w:rFonts w:ascii="Arial" w:hAnsi="Arial" w:cs="Arial"/>
          <w:lang w:val="en-US"/>
        </w:rPr>
        <w:t>tariff and none tariff barriers</w:t>
      </w:r>
      <w:r w:rsidR="00B4009A" w:rsidRPr="00BE0C69">
        <w:rPr>
          <w:rFonts w:ascii="Arial" w:hAnsi="Arial" w:cs="Arial"/>
          <w:lang w:val="en-US"/>
        </w:rPr>
        <w:t xml:space="preserve">. Such measures will </w:t>
      </w:r>
      <w:r w:rsidRPr="00BE0C69">
        <w:rPr>
          <w:rFonts w:ascii="Arial" w:hAnsi="Arial" w:cs="Arial"/>
          <w:lang w:val="en-US"/>
        </w:rPr>
        <w:t xml:space="preserve">strengthen resilience to </w:t>
      </w:r>
      <w:r w:rsidR="00BE0C69" w:rsidRPr="00BE0C69">
        <w:rPr>
          <w:rFonts w:ascii="Arial" w:hAnsi="Arial" w:cs="Arial"/>
          <w:lang w:val="en-US"/>
        </w:rPr>
        <w:t>future shocks</w:t>
      </w:r>
      <w:r w:rsidR="00DF46B8" w:rsidRPr="00BE0C69">
        <w:rPr>
          <w:rFonts w:ascii="Arial" w:hAnsi="Arial" w:cs="Arial"/>
          <w:lang w:val="en-US"/>
        </w:rPr>
        <w:t xml:space="preserve"> and exposure to climate change</w:t>
      </w:r>
      <w:r w:rsidR="002B1ACE" w:rsidRPr="00BE0C69">
        <w:rPr>
          <w:rFonts w:ascii="Arial" w:hAnsi="Arial" w:cs="Arial"/>
          <w:lang w:val="en-US"/>
        </w:rPr>
        <w:t xml:space="preserve">. </w:t>
      </w:r>
      <w:r w:rsidR="00DF46B8" w:rsidRPr="00BE0C69">
        <w:rPr>
          <w:rFonts w:ascii="Arial" w:hAnsi="Arial" w:cs="Arial"/>
          <w:lang w:val="en-US"/>
        </w:rPr>
        <w:t xml:space="preserve"> </w:t>
      </w:r>
    </w:p>
    <w:p w14:paraId="29B00596" w14:textId="77777777" w:rsidR="007F61B6" w:rsidRPr="00BE0C69" w:rsidRDefault="007F61B6" w:rsidP="001F205B">
      <w:pPr>
        <w:pStyle w:val="ListParagraph"/>
        <w:spacing w:after="120"/>
        <w:ind w:left="0"/>
        <w:rPr>
          <w:rFonts w:ascii="Arial" w:hAnsi="Arial" w:cs="Arial"/>
          <w:lang w:val="en-US"/>
        </w:rPr>
      </w:pPr>
    </w:p>
    <w:p w14:paraId="722A5C70" w14:textId="13B6E92E" w:rsidR="001D3A63" w:rsidRPr="00BE0C69" w:rsidRDefault="001D3A63" w:rsidP="001F205B">
      <w:pPr>
        <w:pStyle w:val="ListParagraph"/>
        <w:numPr>
          <w:ilvl w:val="0"/>
          <w:numId w:val="13"/>
        </w:numPr>
        <w:spacing w:after="120"/>
        <w:ind w:left="0"/>
        <w:jc w:val="both"/>
        <w:rPr>
          <w:rFonts w:ascii="Arial" w:hAnsi="Arial" w:cs="Arial"/>
          <w:lang w:val="en-US"/>
        </w:rPr>
      </w:pPr>
      <w:r w:rsidRPr="00BE0C69">
        <w:rPr>
          <w:rFonts w:ascii="Arial" w:hAnsi="Arial" w:cs="Arial"/>
          <w:lang w:val="en-US"/>
        </w:rPr>
        <w:t>Leverage</w:t>
      </w:r>
      <w:r w:rsidR="00AD5F4A" w:rsidRPr="00BE0C69">
        <w:rPr>
          <w:rFonts w:ascii="Arial" w:hAnsi="Arial" w:cs="Arial"/>
          <w:lang w:val="en-US"/>
        </w:rPr>
        <w:t xml:space="preserve"> African Continental Free Trade Area </w:t>
      </w:r>
      <w:r w:rsidR="00BE0C69">
        <w:rPr>
          <w:rFonts w:ascii="Arial" w:hAnsi="Arial" w:cs="Arial"/>
          <w:lang w:val="en-US"/>
        </w:rPr>
        <w:t>(</w:t>
      </w:r>
      <w:proofErr w:type="spellStart"/>
      <w:r w:rsidRPr="00BE0C69">
        <w:rPr>
          <w:rFonts w:ascii="Arial" w:hAnsi="Arial" w:cs="Arial"/>
          <w:lang w:val="en-US"/>
        </w:rPr>
        <w:t>AfCFTA</w:t>
      </w:r>
      <w:proofErr w:type="spellEnd"/>
      <w:r w:rsidR="00AD5F4A" w:rsidRPr="00BE0C69">
        <w:rPr>
          <w:rFonts w:ascii="Arial" w:hAnsi="Arial" w:cs="Arial"/>
          <w:lang w:val="en-US"/>
        </w:rPr>
        <w:t>)</w:t>
      </w:r>
      <w:r w:rsidRPr="00BE0C69">
        <w:rPr>
          <w:rFonts w:ascii="Arial" w:hAnsi="Arial" w:cs="Arial"/>
          <w:lang w:val="en-US"/>
        </w:rPr>
        <w:t xml:space="preserve"> to strengthen value-addition and industrial growth</w:t>
      </w:r>
      <w:r w:rsidR="00552496" w:rsidRPr="00BE0C69">
        <w:rPr>
          <w:rFonts w:ascii="Arial" w:hAnsi="Arial" w:cs="Arial"/>
          <w:lang w:val="en-US"/>
        </w:rPr>
        <w:t xml:space="preserve"> and increas</w:t>
      </w:r>
      <w:r w:rsidR="00756A55" w:rsidRPr="00BE0C69">
        <w:rPr>
          <w:rFonts w:ascii="Arial" w:hAnsi="Arial" w:cs="Arial"/>
          <w:lang w:val="en-US"/>
        </w:rPr>
        <w:t xml:space="preserve">e </w:t>
      </w:r>
      <w:r w:rsidR="00552496" w:rsidRPr="00BE0C69">
        <w:rPr>
          <w:rFonts w:ascii="Arial" w:hAnsi="Arial" w:cs="Arial"/>
          <w:lang w:val="en-US"/>
        </w:rPr>
        <w:t xml:space="preserve">the </w:t>
      </w:r>
      <w:r w:rsidR="00BE0C69" w:rsidRPr="00BE0C69">
        <w:rPr>
          <w:rFonts w:ascii="Arial" w:hAnsi="Arial" w:cs="Arial"/>
          <w:lang w:val="en-US"/>
        </w:rPr>
        <w:t>role digitization</w:t>
      </w:r>
      <w:r w:rsidR="00552496" w:rsidRPr="00BE0C69">
        <w:rPr>
          <w:rFonts w:ascii="Arial" w:hAnsi="Arial" w:cs="Arial"/>
          <w:lang w:val="en-US"/>
        </w:rPr>
        <w:t xml:space="preserve"> continue</w:t>
      </w:r>
      <w:r w:rsidR="00BE0C69">
        <w:rPr>
          <w:rFonts w:ascii="Arial" w:hAnsi="Arial" w:cs="Arial"/>
          <w:lang w:val="en-US"/>
        </w:rPr>
        <w:t>s</w:t>
      </w:r>
      <w:r w:rsidR="00552496" w:rsidRPr="00BE0C69">
        <w:rPr>
          <w:rFonts w:ascii="Arial" w:hAnsi="Arial" w:cs="Arial"/>
          <w:lang w:val="en-US"/>
        </w:rPr>
        <w:t xml:space="preserve"> to </w:t>
      </w:r>
      <w:r w:rsidR="00BE0C69" w:rsidRPr="00BE0C69">
        <w:rPr>
          <w:rFonts w:ascii="Arial" w:hAnsi="Arial" w:cs="Arial"/>
          <w:lang w:val="en-US"/>
        </w:rPr>
        <w:t>play in</w:t>
      </w:r>
      <w:r w:rsidR="00552496" w:rsidRPr="00BE0C69">
        <w:rPr>
          <w:rFonts w:ascii="Arial" w:hAnsi="Arial" w:cs="Arial"/>
          <w:lang w:val="en-US"/>
        </w:rPr>
        <w:t xml:space="preserve"> the economies of the region. </w:t>
      </w:r>
    </w:p>
    <w:p w14:paraId="699D29F6" w14:textId="77777777" w:rsidR="00565099" w:rsidRPr="00BE0C69" w:rsidRDefault="00565099" w:rsidP="00EF5EA0">
      <w:pPr>
        <w:pStyle w:val="ListParagraph"/>
        <w:rPr>
          <w:rFonts w:ascii="Arial" w:hAnsi="Arial" w:cs="Arial"/>
          <w:lang w:val="en-US"/>
        </w:rPr>
      </w:pPr>
    </w:p>
    <w:p w14:paraId="023941C7" w14:textId="6088CF41" w:rsidR="00565099" w:rsidRPr="00BE0C69" w:rsidRDefault="00565099" w:rsidP="001F205B">
      <w:pPr>
        <w:pStyle w:val="ListParagraph"/>
        <w:numPr>
          <w:ilvl w:val="0"/>
          <w:numId w:val="13"/>
        </w:numPr>
        <w:spacing w:after="120"/>
        <w:ind w:left="0"/>
        <w:jc w:val="both"/>
        <w:rPr>
          <w:rFonts w:ascii="Arial" w:hAnsi="Arial" w:cs="Arial"/>
          <w:lang w:val="en-US"/>
        </w:rPr>
      </w:pPr>
      <w:r w:rsidRPr="00BE0C69">
        <w:rPr>
          <w:rFonts w:ascii="Arial" w:hAnsi="Arial" w:cs="Arial"/>
          <w:lang w:val="en-US"/>
        </w:rPr>
        <w:t>There is need to fund and address climate change while ensuring continued provision of basic needs like</w:t>
      </w:r>
      <w:r w:rsidR="00B1006E" w:rsidRPr="00BE0C69">
        <w:rPr>
          <w:rFonts w:ascii="Arial" w:hAnsi="Arial" w:cs="Arial"/>
          <w:lang w:val="en-US"/>
        </w:rPr>
        <w:t xml:space="preserve"> infrastructure,</w:t>
      </w:r>
      <w:r w:rsidRPr="00BE0C69">
        <w:rPr>
          <w:rFonts w:ascii="Arial" w:hAnsi="Arial" w:cs="Arial"/>
          <w:lang w:val="en-US"/>
        </w:rPr>
        <w:t xml:space="preserve"> health and education. </w:t>
      </w:r>
      <w:r w:rsidR="00B1006E" w:rsidRPr="00BE0C69">
        <w:rPr>
          <w:rFonts w:ascii="Arial" w:hAnsi="Arial" w:cs="Arial"/>
          <w:lang w:val="en-US"/>
        </w:rPr>
        <w:t xml:space="preserve">Most countries in the region are experiencing limited fiscal space and funding squeeze with concerns that </w:t>
      </w:r>
      <w:r w:rsidR="00B91B40" w:rsidRPr="00BE0C69">
        <w:rPr>
          <w:rFonts w:ascii="Arial" w:hAnsi="Arial" w:cs="Arial"/>
          <w:lang w:val="en-US"/>
        </w:rPr>
        <w:t>c</w:t>
      </w:r>
      <w:r w:rsidR="00B1006E" w:rsidRPr="00BE0C69">
        <w:rPr>
          <w:rFonts w:ascii="Arial" w:hAnsi="Arial" w:cs="Arial"/>
          <w:lang w:val="en-US"/>
        </w:rPr>
        <w:t xml:space="preserve">limate funding is putting spending pressure on already shrinking fiscal budgets. It is therefore critical that climate financing does not crowd out funding for basic needs and other development goals. Innovative ways need to be devised to ensure among others, more concessional finance is unlocked and or increased participation of the private sector in climate financing. </w:t>
      </w:r>
    </w:p>
    <w:p w14:paraId="5B65698B" w14:textId="77777777" w:rsidR="00703831" w:rsidRPr="00BE0C69" w:rsidRDefault="00703831" w:rsidP="001F205B">
      <w:pPr>
        <w:autoSpaceDE w:val="0"/>
        <w:autoSpaceDN w:val="0"/>
        <w:adjustRightInd w:val="0"/>
        <w:spacing w:after="120"/>
        <w:jc w:val="both"/>
        <w:rPr>
          <w:rFonts w:ascii="Arial" w:hAnsi="Arial" w:cs="Arial"/>
          <w:lang w:val="en-US"/>
        </w:rPr>
      </w:pPr>
    </w:p>
    <w:p w14:paraId="6EB39701" w14:textId="77777777" w:rsidR="007C03AB" w:rsidRPr="00BE0C69" w:rsidRDefault="0073220E" w:rsidP="00D25303">
      <w:pPr>
        <w:pStyle w:val="Heading1"/>
        <w:numPr>
          <w:ilvl w:val="0"/>
          <w:numId w:val="10"/>
        </w:numPr>
        <w:spacing w:before="0" w:after="120" w:line="276" w:lineRule="auto"/>
        <w:ind w:left="0"/>
        <w:rPr>
          <w:rFonts w:ascii="Arial" w:hAnsi="Arial" w:cs="Arial"/>
          <w:sz w:val="22"/>
          <w:szCs w:val="22"/>
        </w:rPr>
      </w:pPr>
      <w:bookmarkStart w:id="28" w:name="_Toc70943223"/>
      <w:r w:rsidRPr="00BE0C69">
        <w:rPr>
          <w:rFonts w:ascii="Arial" w:hAnsi="Arial" w:cs="Arial"/>
          <w:sz w:val="22"/>
          <w:szCs w:val="22"/>
        </w:rPr>
        <w:lastRenderedPageBreak/>
        <w:t>Risks</w:t>
      </w:r>
      <w:r w:rsidR="004D50BF" w:rsidRPr="00BE0C69">
        <w:rPr>
          <w:rFonts w:ascii="Arial" w:hAnsi="Arial" w:cs="Arial"/>
          <w:sz w:val="22"/>
          <w:szCs w:val="22"/>
        </w:rPr>
        <w:t xml:space="preserve"> to Outlook</w:t>
      </w:r>
      <w:bookmarkEnd w:id="28"/>
    </w:p>
    <w:p w14:paraId="64891AD0" w14:textId="48E5A1FA" w:rsidR="001F205B" w:rsidRPr="00BE0C69" w:rsidRDefault="001F205B" w:rsidP="001F205B">
      <w:pPr>
        <w:pStyle w:val="Pa17"/>
        <w:spacing w:after="120" w:line="276" w:lineRule="auto"/>
        <w:jc w:val="both"/>
        <w:rPr>
          <w:rFonts w:ascii="Arial" w:hAnsi="Arial" w:cs="Arial"/>
          <w:sz w:val="22"/>
          <w:szCs w:val="22"/>
          <w:lang w:eastAsia="fr-FR" w:bidi="fr-FR"/>
        </w:rPr>
      </w:pPr>
      <w:bookmarkStart w:id="29" w:name="_Hlk115865440"/>
      <w:r>
        <w:rPr>
          <w:rFonts w:ascii="Arial" w:hAnsi="Arial" w:cs="Arial"/>
          <w:sz w:val="22"/>
          <w:szCs w:val="22"/>
          <w:lang w:eastAsia="fr-FR" w:bidi="fr-FR"/>
        </w:rPr>
        <w:t xml:space="preserve">Policy makers in the region, </w:t>
      </w:r>
      <w:bookmarkStart w:id="30" w:name="_Hlk140048668"/>
      <w:r>
        <w:rPr>
          <w:rFonts w:ascii="Arial" w:hAnsi="Arial" w:cs="Arial"/>
          <w:sz w:val="22"/>
          <w:szCs w:val="22"/>
          <w:lang w:eastAsia="fr-FR" w:bidi="fr-FR"/>
        </w:rPr>
        <w:t>o</w:t>
      </w:r>
      <w:r w:rsidRPr="003A0E5D">
        <w:rPr>
          <w:rFonts w:ascii="Arial" w:hAnsi="Arial" w:cs="Arial"/>
          <w:sz w:val="22"/>
          <w:szCs w:val="22"/>
          <w:lang w:eastAsia="fr-FR" w:bidi="fr-FR"/>
        </w:rPr>
        <w:t>n top of the ongoing repercussions from a recent cascading series of shocks</w:t>
      </w:r>
      <w:r>
        <w:rPr>
          <w:rFonts w:ascii="Arial" w:hAnsi="Arial" w:cs="Arial"/>
          <w:sz w:val="22"/>
          <w:szCs w:val="22"/>
          <w:lang w:eastAsia="fr-FR" w:bidi="fr-FR"/>
        </w:rPr>
        <w:t xml:space="preserve">, </w:t>
      </w:r>
      <w:r w:rsidRPr="003A0E5D">
        <w:rPr>
          <w:rFonts w:ascii="Arial" w:hAnsi="Arial" w:cs="Arial"/>
          <w:sz w:val="22"/>
          <w:szCs w:val="22"/>
          <w:lang w:eastAsia="fr-FR" w:bidi="fr-FR"/>
        </w:rPr>
        <w:t xml:space="preserve">are </w:t>
      </w:r>
      <w:r>
        <w:rPr>
          <w:rFonts w:ascii="Arial" w:hAnsi="Arial" w:cs="Arial"/>
          <w:sz w:val="22"/>
          <w:szCs w:val="22"/>
          <w:lang w:eastAsia="fr-FR" w:bidi="fr-FR"/>
        </w:rPr>
        <w:t xml:space="preserve">staring </w:t>
      </w:r>
      <w:r w:rsidRPr="003A0E5D">
        <w:rPr>
          <w:rFonts w:ascii="Arial" w:hAnsi="Arial" w:cs="Arial"/>
          <w:sz w:val="22"/>
          <w:szCs w:val="22"/>
          <w:lang w:eastAsia="fr-FR" w:bidi="fr-FR"/>
        </w:rPr>
        <w:t xml:space="preserve">at yet </w:t>
      </w:r>
      <w:r w:rsidR="00BE0C69">
        <w:rPr>
          <w:rFonts w:ascii="Arial" w:hAnsi="Arial" w:cs="Arial"/>
          <w:sz w:val="22"/>
          <w:szCs w:val="22"/>
          <w:lang w:eastAsia="fr-FR" w:bidi="fr-FR"/>
        </w:rPr>
        <w:t>a</w:t>
      </w:r>
      <w:r w:rsidRPr="003A0E5D">
        <w:rPr>
          <w:rFonts w:ascii="Arial" w:hAnsi="Arial" w:cs="Arial"/>
          <w:sz w:val="22"/>
          <w:szCs w:val="22"/>
          <w:lang w:eastAsia="fr-FR" w:bidi="fr-FR"/>
        </w:rPr>
        <w:t xml:space="preserve">nother difficult year, </w:t>
      </w:r>
      <w:r>
        <w:rPr>
          <w:rFonts w:ascii="Arial" w:hAnsi="Arial" w:cs="Arial"/>
          <w:sz w:val="22"/>
          <w:szCs w:val="22"/>
          <w:lang w:eastAsia="fr-FR" w:bidi="fr-FR"/>
        </w:rPr>
        <w:t xml:space="preserve">marked by </w:t>
      </w:r>
      <w:r w:rsidRPr="003A0E5D">
        <w:rPr>
          <w:rFonts w:ascii="Arial" w:hAnsi="Arial" w:cs="Arial"/>
          <w:sz w:val="22"/>
          <w:szCs w:val="22"/>
          <w:lang w:eastAsia="fr-FR" w:bidi="fr-FR"/>
        </w:rPr>
        <w:t>tighter financing conditions</w:t>
      </w:r>
      <w:r>
        <w:rPr>
          <w:rFonts w:ascii="Arial" w:hAnsi="Arial" w:cs="Arial"/>
          <w:sz w:val="22"/>
          <w:szCs w:val="22"/>
          <w:lang w:eastAsia="fr-FR" w:bidi="fr-FR"/>
        </w:rPr>
        <w:t xml:space="preserve"> and subdued growth</w:t>
      </w:r>
      <w:r w:rsidRPr="003A0E5D">
        <w:rPr>
          <w:rFonts w:ascii="Arial" w:hAnsi="Arial" w:cs="Arial"/>
          <w:sz w:val="22"/>
          <w:szCs w:val="22"/>
          <w:lang w:eastAsia="fr-FR" w:bidi="fr-FR"/>
        </w:rPr>
        <w:t>.</w:t>
      </w:r>
      <w:bookmarkEnd w:id="30"/>
      <w:r w:rsidRPr="003A0E5D">
        <w:rPr>
          <w:rFonts w:ascii="Arial" w:hAnsi="Arial" w:cs="Arial"/>
          <w:sz w:val="22"/>
          <w:szCs w:val="22"/>
          <w:lang w:eastAsia="fr-FR" w:bidi="fr-FR"/>
        </w:rPr>
        <w:t xml:space="preserve"> </w:t>
      </w:r>
      <w:r w:rsidRPr="00BE0C69">
        <w:rPr>
          <w:rFonts w:ascii="Arial" w:hAnsi="Arial" w:cs="Arial"/>
          <w:sz w:val="22"/>
          <w:szCs w:val="22"/>
          <w:lang w:eastAsia="fr-FR" w:bidi="fr-FR"/>
        </w:rPr>
        <w:t>This, compounded with several armed conflicts and terrorist threats and climate related shocks poses serious risks to economies of</w:t>
      </w:r>
      <w:r w:rsidR="00B91B40" w:rsidRPr="00BE0C69">
        <w:rPr>
          <w:rFonts w:ascii="Arial" w:hAnsi="Arial" w:cs="Arial"/>
          <w:sz w:val="22"/>
          <w:szCs w:val="22"/>
          <w:lang w:eastAsia="fr-FR" w:bidi="fr-FR"/>
        </w:rPr>
        <w:t xml:space="preserve"> the</w:t>
      </w:r>
      <w:r w:rsidRPr="00BE0C69">
        <w:rPr>
          <w:rFonts w:ascii="Arial" w:hAnsi="Arial" w:cs="Arial"/>
          <w:sz w:val="22"/>
          <w:szCs w:val="22"/>
          <w:lang w:eastAsia="fr-FR" w:bidi="fr-FR"/>
        </w:rPr>
        <w:t xml:space="preserve"> COMESA </w:t>
      </w:r>
      <w:r w:rsidR="00B91B40" w:rsidRPr="00BE0C69">
        <w:rPr>
          <w:rFonts w:ascii="Arial" w:hAnsi="Arial" w:cs="Arial"/>
          <w:sz w:val="22"/>
          <w:szCs w:val="22"/>
          <w:lang w:eastAsia="fr-FR" w:bidi="fr-FR"/>
        </w:rPr>
        <w:t>region</w:t>
      </w:r>
      <w:r w:rsidRPr="00BE0C69">
        <w:rPr>
          <w:rFonts w:ascii="Arial" w:hAnsi="Arial" w:cs="Arial"/>
          <w:sz w:val="22"/>
          <w:szCs w:val="22"/>
          <w:lang w:eastAsia="fr-FR" w:bidi="fr-FR"/>
        </w:rPr>
        <w:t xml:space="preserve">. </w:t>
      </w:r>
      <w:r>
        <w:rPr>
          <w:rFonts w:ascii="Arial" w:hAnsi="Arial" w:cs="Arial"/>
          <w:sz w:val="22"/>
          <w:szCs w:val="22"/>
          <w:lang w:eastAsia="fr-FR" w:bidi="fr-FR"/>
        </w:rPr>
        <w:t xml:space="preserve">On </w:t>
      </w:r>
      <w:r w:rsidR="00BE0C69">
        <w:rPr>
          <w:rFonts w:ascii="Arial" w:hAnsi="Arial" w:cs="Arial"/>
          <w:sz w:val="22"/>
          <w:szCs w:val="22"/>
          <w:lang w:eastAsia="fr-FR" w:bidi="fr-FR"/>
        </w:rPr>
        <w:t xml:space="preserve">a </w:t>
      </w:r>
      <w:r>
        <w:rPr>
          <w:rFonts w:ascii="Arial" w:hAnsi="Arial" w:cs="Arial"/>
          <w:sz w:val="22"/>
          <w:szCs w:val="22"/>
          <w:lang w:eastAsia="fr-FR" w:bidi="fr-FR"/>
        </w:rPr>
        <w:t>somewhat good note, t</w:t>
      </w:r>
      <w:r w:rsidRPr="00BE0C69">
        <w:rPr>
          <w:rFonts w:ascii="Arial" w:hAnsi="Arial" w:cs="Arial"/>
          <w:sz w:val="22"/>
          <w:szCs w:val="22"/>
          <w:lang w:eastAsia="fr-FR" w:bidi="fr-FR"/>
        </w:rPr>
        <w:t xml:space="preserve">he fuel pump price pressures and global food prices have started to ease and are projected to continue on easing trajectory over the medium-term, providing some retrieve for the region. </w:t>
      </w:r>
    </w:p>
    <w:p w14:paraId="2A7469F4" w14:textId="3C5002D3" w:rsidR="002D3224" w:rsidRDefault="00F0556B" w:rsidP="001F205B">
      <w:pPr>
        <w:pStyle w:val="Pa17"/>
        <w:spacing w:after="120" w:line="276" w:lineRule="auto"/>
        <w:jc w:val="both"/>
        <w:rPr>
          <w:rFonts w:ascii="Arial" w:hAnsi="Arial" w:cs="Arial"/>
        </w:rPr>
      </w:pPr>
      <w:r>
        <w:rPr>
          <w:rFonts w:ascii="Arial" w:hAnsi="Arial" w:cs="Arial"/>
        </w:rPr>
        <w:t xml:space="preserve"> </w:t>
      </w:r>
      <w:r w:rsidR="00D22B99">
        <w:rPr>
          <w:rFonts w:ascii="Arial" w:hAnsi="Arial" w:cs="Arial"/>
        </w:rPr>
        <w:t xml:space="preserve"> </w:t>
      </w:r>
    </w:p>
    <w:p w14:paraId="088EFCF4" w14:textId="1C4FB549" w:rsidR="00C41579" w:rsidRPr="00572F4C" w:rsidRDefault="0073220E" w:rsidP="00572F4C">
      <w:pPr>
        <w:pStyle w:val="Heading1"/>
        <w:spacing w:before="0" w:after="120" w:line="276" w:lineRule="auto"/>
        <w:rPr>
          <w:rFonts w:ascii="Arial" w:hAnsi="Arial" w:cs="Arial"/>
          <w:sz w:val="22"/>
          <w:szCs w:val="22"/>
        </w:rPr>
      </w:pPr>
      <w:bookmarkStart w:id="31" w:name="_Toc70943224"/>
      <w:bookmarkEnd w:id="29"/>
      <w:r w:rsidRPr="00572F4C">
        <w:rPr>
          <w:rFonts w:ascii="Arial" w:hAnsi="Arial" w:cs="Arial"/>
          <w:sz w:val="22"/>
          <w:szCs w:val="22"/>
        </w:rPr>
        <w:t>References</w:t>
      </w:r>
      <w:bookmarkEnd w:id="31"/>
    </w:p>
    <w:p w14:paraId="17846A67" w14:textId="7E07F8D1" w:rsidR="003D5E12" w:rsidRDefault="00A865EB" w:rsidP="000324D0">
      <w:pPr>
        <w:pStyle w:val="ListParagraph"/>
        <w:numPr>
          <w:ilvl w:val="0"/>
          <w:numId w:val="3"/>
        </w:numPr>
        <w:spacing w:after="0" w:line="240" w:lineRule="auto"/>
        <w:jc w:val="both"/>
        <w:rPr>
          <w:rFonts w:ascii="Arial" w:hAnsi="Arial" w:cs="Arial"/>
          <w:bCs/>
          <w:lang w:val="en-US" w:eastAsia="en-US" w:bidi="ar-SA"/>
        </w:rPr>
      </w:pPr>
      <w:r w:rsidRPr="003D5E12">
        <w:rPr>
          <w:rFonts w:ascii="Arial" w:hAnsi="Arial" w:cs="Arial"/>
          <w:bCs/>
          <w:lang w:val="en-US" w:eastAsia="en-US" w:bidi="ar-SA"/>
        </w:rPr>
        <w:t xml:space="preserve">IMF REO Sub Saharan Africa </w:t>
      </w:r>
      <w:r w:rsidR="00572F4C">
        <w:rPr>
          <w:rFonts w:ascii="Arial" w:hAnsi="Arial" w:cs="Arial"/>
          <w:bCs/>
          <w:lang w:val="en-US" w:eastAsia="en-US" w:bidi="ar-SA"/>
        </w:rPr>
        <w:t>(</w:t>
      </w:r>
      <w:r w:rsidR="003D5E12">
        <w:rPr>
          <w:rFonts w:ascii="Arial" w:hAnsi="Arial" w:cs="Arial"/>
          <w:bCs/>
          <w:lang w:val="en-US" w:eastAsia="en-US" w:bidi="ar-SA"/>
        </w:rPr>
        <w:t>April</w:t>
      </w:r>
      <w:r w:rsidR="0040655D" w:rsidRPr="003D5E12">
        <w:rPr>
          <w:rFonts w:ascii="Arial" w:hAnsi="Arial" w:cs="Arial"/>
          <w:bCs/>
          <w:lang w:val="en-US" w:eastAsia="en-US" w:bidi="ar-SA"/>
        </w:rPr>
        <w:t xml:space="preserve"> 20</w:t>
      </w:r>
      <w:r w:rsidR="003D5E12">
        <w:rPr>
          <w:rFonts w:ascii="Arial" w:hAnsi="Arial" w:cs="Arial"/>
          <w:bCs/>
          <w:lang w:val="en-US" w:eastAsia="en-US" w:bidi="ar-SA"/>
        </w:rPr>
        <w:t>2</w:t>
      </w:r>
      <w:r w:rsidR="0087423C">
        <w:rPr>
          <w:rFonts w:ascii="Arial" w:hAnsi="Arial" w:cs="Arial"/>
          <w:bCs/>
          <w:lang w:val="en-US" w:eastAsia="en-US" w:bidi="ar-SA"/>
        </w:rPr>
        <w:t>3</w:t>
      </w:r>
      <w:r w:rsidR="003D5E12">
        <w:rPr>
          <w:rFonts w:ascii="Arial" w:hAnsi="Arial" w:cs="Arial"/>
          <w:bCs/>
          <w:lang w:val="en-US" w:eastAsia="en-US" w:bidi="ar-SA"/>
        </w:rPr>
        <w:t xml:space="preserve">) </w:t>
      </w:r>
    </w:p>
    <w:p w14:paraId="4DF2AAE3" w14:textId="6827EC8D" w:rsidR="003D5E12" w:rsidRDefault="003D5E12" w:rsidP="000324D0">
      <w:pPr>
        <w:pStyle w:val="ListParagraph"/>
        <w:numPr>
          <w:ilvl w:val="0"/>
          <w:numId w:val="3"/>
        </w:numPr>
        <w:spacing w:after="0" w:line="240" w:lineRule="auto"/>
        <w:jc w:val="both"/>
        <w:rPr>
          <w:rFonts w:ascii="Arial" w:hAnsi="Arial" w:cs="Arial"/>
          <w:bCs/>
          <w:lang w:val="en-US" w:eastAsia="en-US" w:bidi="ar-SA"/>
        </w:rPr>
      </w:pPr>
      <w:r w:rsidRPr="003D5E12">
        <w:rPr>
          <w:rFonts w:ascii="Arial" w:hAnsi="Arial" w:cs="Arial"/>
          <w:bCs/>
          <w:lang w:val="en-US" w:eastAsia="en-US" w:bidi="ar-SA"/>
        </w:rPr>
        <w:t xml:space="preserve">IMF REO Middle East and Central Asia </w:t>
      </w:r>
      <w:r w:rsidR="00572F4C">
        <w:rPr>
          <w:rFonts w:ascii="Arial" w:hAnsi="Arial" w:cs="Arial"/>
          <w:bCs/>
          <w:lang w:val="en-US" w:eastAsia="en-US" w:bidi="ar-SA"/>
        </w:rPr>
        <w:t>(</w:t>
      </w:r>
      <w:r w:rsidR="0087423C">
        <w:rPr>
          <w:rFonts w:ascii="Arial" w:hAnsi="Arial" w:cs="Arial"/>
          <w:bCs/>
          <w:lang w:val="en-US" w:eastAsia="en-US" w:bidi="ar-SA"/>
        </w:rPr>
        <w:t>May</w:t>
      </w:r>
      <w:r w:rsidRPr="003D5E12">
        <w:rPr>
          <w:rFonts w:ascii="Arial" w:hAnsi="Arial" w:cs="Arial"/>
          <w:bCs/>
          <w:lang w:val="en-US" w:eastAsia="en-US" w:bidi="ar-SA"/>
        </w:rPr>
        <w:t xml:space="preserve"> 202</w:t>
      </w:r>
      <w:r w:rsidR="001B2A70">
        <w:rPr>
          <w:rFonts w:ascii="Arial" w:hAnsi="Arial" w:cs="Arial"/>
          <w:bCs/>
          <w:lang w:val="en-US" w:eastAsia="en-US" w:bidi="ar-SA"/>
        </w:rPr>
        <w:t>3</w:t>
      </w:r>
      <w:r w:rsidR="00572F4C">
        <w:rPr>
          <w:rFonts w:ascii="Arial" w:hAnsi="Arial" w:cs="Arial"/>
          <w:bCs/>
          <w:lang w:val="en-US" w:eastAsia="en-US" w:bidi="ar-SA"/>
        </w:rPr>
        <w:t>)</w:t>
      </w:r>
      <w:r w:rsidRPr="003D5E12">
        <w:rPr>
          <w:rFonts w:ascii="Arial" w:hAnsi="Arial" w:cs="Arial"/>
          <w:bCs/>
          <w:lang w:val="en-US" w:eastAsia="en-US" w:bidi="ar-SA"/>
        </w:rPr>
        <w:t xml:space="preserve">; </w:t>
      </w:r>
    </w:p>
    <w:p w14:paraId="7192AC84" w14:textId="77777777" w:rsidR="003D5E12" w:rsidRDefault="003D5E12" w:rsidP="000324D0">
      <w:pPr>
        <w:pStyle w:val="ListParagraph"/>
        <w:numPr>
          <w:ilvl w:val="0"/>
          <w:numId w:val="3"/>
        </w:numPr>
        <w:spacing w:after="0" w:line="240" w:lineRule="auto"/>
        <w:jc w:val="both"/>
        <w:rPr>
          <w:rFonts w:ascii="Arial" w:hAnsi="Arial" w:cs="Arial"/>
          <w:bCs/>
          <w:lang w:val="en-US" w:eastAsia="en-US" w:bidi="ar-SA"/>
        </w:rPr>
      </w:pPr>
      <w:r w:rsidRPr="003D5E12">
        <w:rPr>
          <w:rFonts w:ascii="Arial" w:hAnsi="Arial" w:cs="Arial"/>
          <w:bCs/>
          <w:lang w:val="en-US" w:eastAsia="en-US" w:bidi="ar-SA"/>
        </w:rPr>
        <w:t xml:space="preserve">IMF </w:t>
      </w:r>
      <w:r w:rsidR="00E344E4">
        <w:rPr>
          <w:rFonts w:ascii="Arial" w:hAnsi="Arial" w:cs="Arial"/>
          <w:bCs/>
          <w:lang w:val="en-US" w:eastAsia="en-US" w:bidi="ar-SA"/>
        </w:rPr>
        <w:t xml:space="preserve">Article IV Consultations Staff </w:t>
      </w:r>
      <w:r w:rsidRPr="003D5E12">
        <w:rPr>
          <w:rFonts w:ascii="Arial" w:hAnsi="Arial" w:cs="Arial"/>
          <w:bCs/>
          <w:lang w:val="en-US" w:eastAsia="en-US" w:bidi="ar-SA"/>
        </w:rPr>
        <w:t>Country Reports</w:t>
      </w:r>
    </w:p>
    <w:p w14:paraId="0F408F3F" w14:textId="7982DC9B" w:rsidR="00C41579" w:rsidRPr="0087423C" w:rsidRDefault="00F25F51" w:rsidP="009E2EC1">
      <w:pPr>
        <w:pStyle w:val="ListParagraph"/>
        <w:numPr>
          <w:ilvl w:val="0"/>
          <w:numId w:val="3"/>
        </w:numPr>
        <w:spacing w:after="0" w:line="240" w:lineRule="auto"/>
        <w:jc w:val="both"/>
        <w:rPr>
          <w:lang w:val="en-US"/>
        </w:rPr>
      </w:pPr>
      <w:r w:rsidRPr="0087423C">
        <w:rPr>
          <w:rFonts w:ascii="Arial" w:hAnsi="Arial" w:cs="Arial"/>
          <w:bCs/>
          <w:lang w:val="en-US" w:eastAsia="en-US" w:bidi="ar-SA"/>
        </w:rPr>
        <w:t>AfD</w:t>
      </w:r>
      <w:r w:rsidR="00104EC8" w:rsidRPr="0087423C">
        <w:rPr>
          <w:rFonts w:ascii="Arial" w:hAnsi="Arial" w:cs="Arial"/>
          <w:bCs/>
          <w:lang w:val="en-US" w:eastAsia="en-US" w:bidi="ar-SA"/>
        </w:rPr>
        <w:t>B</w:t>
      </w:r>
      <w:r w:rsidR="000E4BCE" w:rsidRPr="0087423C">
        <w:rPr>
          <w:rFonts w:ascii="Arial" w:hAnsi="Arial" w:cs="Arial"/>
          <w:bCs/>
          <w:lang w:val="en-US" w:eastAsia="en-US" w:bidi="ar-SA"/>
        </w:rPr>
        <w:t xml:space="preserve"> </w:t>
      </w:r>
      <w:r w:rsidR="00A865EB" w:rsidRPr="0087423C">
        <w:rPr>
          <w:rFonts w:ascii="Arial" w:hAnsi="Arial" w:cs="Arial"/>
          <w:bCs/>
          <w:lang w:val="en-US" w:eastAsia="en-US" w:bidi="ar-SA"/>
        </w:rPr>
        <w:t xml:space="preserve">African Economic Outlook </w:t>
      </w:r>
      <w:r w:rsidR="003D5E12" w:rsidRPr="0087423C">
        <w:rPr>
          <w:rFonts w:ascii="Arial" w:hAnsi="Arial" w:cs="Arial"/>
          <w:bCs/>
          <w:lang w:val="en-US" w:eastAsia="en-US" w:bidi="ar-SA"/>
        </w:rPr>
        <w:t>(</w:t>
      </w:r>
      <w:r w:rsidR="005A3F76" w:rsidRPr="0087423C">
        <w:rPr>
          <w:rFonts w:ascii="Arial" w:hAnsi="Arial" w:cs="Arial"/>
          <w:bCs/>
          <w:lang w:val="en-US" w:eastAsia="en-US" w:bidi="ar-SA"/>
        </w:rPr>
        <w:t xml:space="preserve">March </w:t>
      </w:r>
      <w:r w:rsidR="00A865EB" w:rsidRPr="0087423C">
        <w:rPr>
          <w:rFonts w:ascii="Arial" w:hAnsi="Arial" w:cs="Arial"/>
          <w:bCs/>
          <w:lang w:val="en-US" w:eastAsia="en-US" w:bidi="ar-SA"/>
        </w:rPr>
        <w:t>20</w:t>
      </w:r>
      <w:r w:rsidR="003D5E12" w:rsidRPr="0087423C">
        <w:rPr>
          <w:rFonts w:ascii="Arial" w:hAnsi="Arial" w:cs="Arial"/>
          <w:bCs/>
          <w:lang w:val="en-US" w:eastAsia="en-US" w:bidi="ar-SA"/>
        </w:rPr>
        <w:t>2</w:t>
      </w:r>
      <w:r w:rsidR="0087423C">
        <w:rPr>
          <w:rFonts w:ascii="Arial" w:hAnsi="Arial" w:cs="Arial"/>
          <w:bCs/>
          <w:lang w:val="en-US" w:eastAsia="en-US" w:bidi="ar-SA"/>
        </w:rPr>
        <w:t>3</w:t>
      </w:r>
      <w:r w:rsidR="003D5E12" w:rsidRPr="0087423C">
        <w:rPr>
          <w:rFonts w:ascii="Arial" w:hAnsi="Arial" w:cs="Arial"/>
          <w:bCs/>
          <w:lang w:val="en-US" w:eastAsia="en-US" w:bidi="ar-SA"/>
        </w:rPr>
        <w:t>)</w:t>
      </w:r>
    </w:p>
    <w:sectPr w:rsidR="00C41579" w:rsidRPr="0087423C" w:rsidSect="00A705E7">
      <w:pgSz w:w="11906" w:h="16838"/>
      <w:pgMar w:top="1259" w:right="1259" w:bottom="1259" w:left="1259"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083383" w14:textId="77777777" w:rsidR="00C05BA7" w:rsidRDefault="00C05BA7" w:rsidP="003A54A5">
      <w:pPr>
        <w:spacing w:after="0" w:line="240" w:lineRule="auto"/>
      </w:pPr>
      <w:r>
        <w:separator/>
      </w:r>
    </w:p>
  </w:endnote>
  <w:endnote w:type="continuationSeparator" w:id="0">
    <w:p w14:paraId="5B48706D" w14:textId="77777777" w:rsidR="00C05BA7" w:rsidRDefault="00C05BA7" w:rsidP="003A54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dobe Garamond Pro">
    <w:altName w:val="Garamond"/>
    <w:panose1 w:val="00000000000000000000"/>
    <w:charset w:val="00"/>
    <w:family w:val="roman"/>
    <w:notTrueType/>
    <w:pitch w:val="default"/>
    <w:sig w:usb0="00000003" w:usb1="00000000" w:usb2="00000000" w:usb3="00000000" w:csb0="00000001" w:csb1="00000000"/>
  </w:font>
  <w:font w:name="Avenir Next W1G">
    <w:altName w:val="Calibri"/>
    <w:panose1 w:val="00000000000000000000"/>
    <w:charset w:val="00"/>
    <w:family w:val="swiss"/>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250311"/>
      <w:docPartObj>
        <w:docPartGallery w:val="Page Numbers (Bottom of Page)"/>
        <w:docPartUnique/>
      </w:docPartObj>
    </w:sdtPr>
    <w:sdtEndPr>
      <w:rPr>
        <w:color w:val="7F7F7F" w:themeColor="background1" w:themeShade="7F"/>
        <w:spacing w:val="60"/>
      </w:rPr>
    </w:sdtEndPr>
    <w:sdtContent>
      <w:p w14:paraId="287A58EB" w14:textId="0BBABB59" w:rsidR="00572F4C" w:rsidRDefault="00572F4C">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D32533" w:rsidRPr="00D32533">
          <w:rPr>
            <w:b/>
            <w:bCs/>
            <w:noProof/>
          </w:rPr>
          <w:t>10</w:t>
        </w:r>
        <w:r>
          <w:rPr>
            <w:b/>
            <w:bCs/>
            <w:noProof/>
          </w:rPr>
          <w:fldChar w:fldCharType="end"/>
        </w:r>
        <w:r>
          <w:rPr>
            <w:b/>
            <w:bCs/>
          </w:rPr>
          <w:t xml:space="preserve"> | </w:t>
        </w:r>
        <w:r>
          <w:rPr>
            <w:color w:val="7F7F7F" w:themeColor="background1" w:themeShade="7F"/>
            <w:spacing w:val="60"/>
          </w:rPr>
          <w:t>Page</w:t>
        </w:r>
      </w:p>
    </w:sdtContent>
  </w:sdt>
  <w:p w14:paraId="3F1045B3" w14:textId="77777777" w:rsidR="00572F4C" w:rsidRDefault="00572F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9570518"/>
      <w:docPartObj>
        <w:docPartGallery w:val="Page Numbers (Bottom of Page)"/>
        <w:docPartUnique/>
      </w:docPartObj>
    </w:sdtPr>
    <w:sdtEndPr>
      <w:rPr>
        <w:color w:val="7F7F7F" w:themeColor="background1" w:themeShade="7F"/>
        <w:spacing w:val="60"/>
      </w:rPr>
    </w:sdtEndPr>
    <w:sdtContent>
      <w:p w14:paraId="386F6CD2" w14:textId="6A18728C" w:rsidR="00A705E7" w:rsidRDefault="00A705E7">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D32533" w:rsidRPr="00D32533">
          <w:rPr>
            <w:b/>
            <w:bCs/>
            <w:noProof/>
          </w:rPr>
          <w:t>11</w:t>
        </w:r>
        <w:r>
          <w:rPr>
            <w:b/>
            <w:bCs/>
            <w:noProof/>
          </w:rPr>
          <w:fldChar w:fldCharType="end"/>
        </w:r>
        <w:r>
          <w:rPr>
            <w:b/>
            <w:bCs/>
          </w:rPr>
          <w:t xml:space="preserve"> | </w:t>
        </w:r>
        <w:r>
          <w:rPr>
            <w:color w:val="7F7F7F" w:themeColor="background1" w:themeShade="7F"/>
            <w:spacing w:val="60"/>
          </w:rPr>
          <w:t>Page</w:t>
        </w:r>
      </w:p>
    </w:sdtContent>
  </w:sdt>
  <w:p w14:paraId="4460F8B4" w14:textId="77777777" w:rsidR="001D7205" w:rsidRDefault="001D720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1050555"/>
      <w:docPartObj>
        <w:docPartGallery w:val="Page Numbers (Bottom of Page)"/>
        <w:docPartUnique/>
      </w:docPartObj>
    </w:sdtPr>
    <w:sdtEndPr>
      <w:rPr>
        <w:color w:val="7F7F7F" w:themeColor="background1" w:themeShade="7F"/>
        <w:spacing w:val="60"/>
      </w:rPr>
    </w:sdtEndPr>
    <w:sdtContent>
      <w:p w14:paraId="30ABE83D" w14:textId="41048D27" w:rsidR="00572F4C" w:rsidRDefault="00572F4C">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D32533" w:rsidRPr="00D32533">
          <w:rPr>
            <w:b/>
            <w:bCs/>
            <w:noProof/>
          </w:rPr>
          <w:t>0</w:t>
        </w:r>
        <w:r>
          <w:rPr>
            <w:b/>
            <w:bCs/>
            <w:noProof/>
          </w:rPr>
          <w:fldChar w:fldCharType="end"/>
        </w:r>
        <w:r>
          <w:rPr>
            <w:b/>
            <w:bCs/>
          </w:rPr>
          <w:t xml:space="preserve"> | </w:t>
        </w:r>
        <w:r>
          <w:rPr>
            <w:color w:val="7F7F7F" w:themeColor="background1" w:themeShade="7F"/>
            <w:spacing w:val="60"/>
          </w:rPr>
          <w:t>Page</w:t>
        </w:r>
      </w:p>
    </w:sdtContent>
  </w:sdt>
  <w:p w14:paraId="629D3CD7" w14:textId="77777777" w:rsidR="00572F4C" w:rsidRDefault="00572F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7D7931" w14:textId="77777777" w:rsidR="00C05BA7" w:rsidRDefault="00C05BA7" w:rsidP="003A54A5">
      <w:pPr>
        <w:spacing w:after="0" w:line="240" w:lineRule="auto"/>
      </w:pPr>
      <w:r>
        <w:separator/>
      </w:r>
    </w:p>
  </w:footnote>
  <w:footnote w:type="continuationSeparator" w:id="0">
    <w:p w14:paraId="0BDC24C5" w14:textId="77777777" w:rsidR="00C05BA7" w:rsidRDefault="00C05BA7" w:rsidP="003A54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8A0D25A"/>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B8A6396"/>
    <w:multiLevelType w:val="hybridMultilevel"/>
    <w:tmpl w:val="13644EA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2BB51C8"/>
    <w:multiLevelType w:val="hybridMultilevel"/>
    <w:tmpl w:val="9500A3A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03786E"/>
    <w:multiLevelType w:val="hybridMultilevel"/>
    <w:tmpl w:val="BBBCADDC"/>
    <w:lvl w:ilvl="0" w:tplc="01AA2B40">
      <w:start w:val="1"/>
      <w:numFmt w:val="lowerRoman"/>
      <w:lvlText w:val="(%1)"/>
      <w:lvlJc w:val="left"/>
      <w:pPr>
        <w:ind w:left="1350" w:hanging="72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15:restartNumberingAfterBreak="0">
    <w:nsid w:val="19EA595A"/>
    <w:multiLevelType w:val="hybridMultilevel"/>
    <w:tmpl w:val="2E26C81C"/>
    <w:lvl w:ilvl="0" w:tplc="94CCDD22">
      <w:start w:val="1"/>
      <w:numFmt w:val="decimal"/>
      <w:lvlText w:val="%1."/>
      <w:lvlJc w:val="left"/>
      <w:pPr>
        <w:ind w:left="900" w:hanging="360"/>
      </w:pPr>
      <w:rPr>
        <w:rFonts w:ascii="Arial" w:hAnsi="Arial" w:cs="Arial" w:hint="default"/>
        <w:b w:val="0"/>
        <w:color w:val="auto"/>
        <w:lang w:val="en-US"/>
      </w:rPr>
    </w:lvl>
    <w:lvl w:ilvl="1" w:tplc="B3E63542">
      <w:start w:val="1"/>
      <w:numFmt w:val="lowerRoman"/>
      <w:lvlText w:val="(%2)"/>
      <w:lvlJc w:val="left"/>
      <w:pPr>
        <w:ind w:left="1080" w:hanging="360"/>
      </w:pPr>
    </w:lvl>
    <w:lvl w:ilvl="2" w:tplc="E708B5E6">
      <w:start w:val="1"/>
      <w:numFmt w:val="lowerRoman"/>
      <w:lvlText w:val="(%3)"/>
      <w:lvlJc w:val="right"/>
      <w:pPr>
        <w:ind w:left="1800" w:hanging="180"/>
      </w:pPr>
      <w:rPr>
        <w:rFonts w:ascii="Arial" w:eastAsia="Times New Roman" w:hAnsi="Arial" w:cs="Arial"/>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2444786"/>
    <w:multiLevelType w:val="hybridMultilevel"/>
    <w:tmpl w:val="1F14A0C2"/>
    <w:lvl w:ilvl="0" w:tplc="F6DAC878">
      <w:start w:val="1"/>
      <w:numFmt w:val="lowerRoman"/>
      <w:lvlText w:val="(%1)"/>
      <w:lvlJc w:val="left"/>
      <w:pPr>
        <w:ind w:left="1530" w:hanging="72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15:restartNumberingAfterBreak="0">
    <w:nsid w:val="31C106B5"/>
    <w:multiLevelType w:val="hybridMultilevel"/>
    <w:tmpl w:val="DCD8F050"/>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7" w15:restartNumberingAfterBreak="0">
    <w:nsid w:val="327200F9"/>
    <w:multiLevelType w:val="hybridMultilevel"/>
    <w:tmpl w:val="21D8B72E"/>
    <w:lvl w:ilvl="0" w:tplc="EE302AB8">
      <w:start w:val="1"/>
      <w:numFmt w:val="lowerLetter"/>
      <w:lvlText w:val="%1)"/>
      <w:lvlJc w:val="left"/>
      <w:pPr>
        <w:ind w:left="990" w:hanging="360"/>
      </w:pPr>
      <w:rPr>
        <w:rFonts w:hint="default"/>
      </w:rPr>
    </w:lvl>
    <w:lvl w:ilvl="1" w:tplc="08090019">
      <w:start w:val="1"/>
      <w:numFmt w:val="lowerLetter"/>
      <w:lvlText w:val="%2."/>
      <w:lvlJc w:val="left"/>
      <w:pPr>
        <w:ind w:left="1710" w:hanging="360"/>
      </w:pPr>
    </w:lvl>
    <w:lvl w:ilvl="2" w:tplc="0809001B" w:tentative="1">
      <w:start w:val="1"/>
      <w:numFmt w:val="lowerRoman"/>
      <w:lvlText w:val="%3."/>
      <w:lvlJc w:val="right"/>
      <w:pPr>
        <w:ind w:left="2430" w:hanging="180"/>
      </w:pPr>
    </w:lvl>
    <w:lvl w:ilvl="3" w:tplc="0809000F" w:tentative="1">
      <w:start w:val="1"/>
      <w:numFmt w:val="decimal"/>
      <w:lvlText w:val="%4."/>
      <w:lvlJc w:val="left"/>
      <w:pPr>
        <w:ind w:left="3150" w:hanging="360"/>
      </w:pPr>
    </w:lvl>
    <w:lvl w:ilvl="4" w:tplc="08090019" w:tentative="1">
      <w:start w:val="1"/>
      <w:numFmt w:val="lowerLetter"/>
      <w:lvlText w:val="%5."/>
      <w:lvlJc w:val="left"/>
      <w:pPr>
        <w:ind w:left="3870" w:hanging="360"/>
      </w:pPr>
    </w:lvl>
    <w:lvl w:ilvl="5" w:tplc="0809001B" w:tentative="1">
      <w:start w:val="1"/>
      <w:numFmt w:val="lowerRoman"/>
      <w:lvlText w:val="%6."/>
      <w:lvlJc w:val="right"/>
      <w:pPr>
        <w:ind w:left="4590" w:hanging="180"/>
      </w:pPr>
    </w:lvl>
    <w:lvl w:ilvl="6" w:tplc="0809000F" w:tentative="1">
      <w:start w:val="1"/>
      <w:numFmt w:val="decimal"/>
      <w:lvlText w:val="%7."/>
      <w:lvlJc w:val="left"/>
      <w:pPr>
        <w:ind w:left="5310" w:hanging="360"/>
      </w:pPr>
    </w:lvl>
    <w:lvl w:ilvl="7" w:tplc="08090019" w:tentative="1">
      <w:start w:val="1"/>
      <w:numFmt w:val="lowerLetter"/>
      <w:lvlText w:val="%8."/>
      <w:lvlJc w:val="left"/>
      <w:pPr>
        <w:ind w:left="6030" w:hanging="360"/>
      </w:pPr>
    </w:lvl>
    <w:lvl w:ilvl="8" w:tplc="0809001B" w:tentative="1">
      <w:start w:val="1"/>
      <w:numFmt w:val="lowerRoman"/>
      <w:lvlText w:val="%9."/>
      <w:lvlJc w:val="right"/>
      <w:pPr>
        <w:ind w:left="6750" w:hanging="180"/>
      </w:pPr>
    </w:lvl>
  </w:abstractNum>
  <w:abstractNum w:abstractNumId="8" w15:restartNumberingAfterBreak="0">
    <w:nsid w:val="37770AC8"/>
    <w:multiLevelType w:val="hybridMultilevel"/>
    <w:tmpl w:val="A412EC50"/>
    <w:lvl w:ilvl="0" w:tplc="3DCAC850">
      <w:start w:val="1"/>
      <w:numFmt w:val="upperLetter"/>
      <w:lvlText w:val="%1."/>
      <w:lvlJc w:val="left"/>
      <w:pPr>
        <w:ind w:left="630" w:hanging="360"/>
      </w:pPr>
      <w:rPr>
        <w:rFonts w:hint="default"/>
        <w:b/>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9" w15:restartNumberingAfterBreak="0">
    <w:nsid w:val="3C264A30"/>
    <w:multiLevelType w:val="hybridMultilevel"/>
    <w:tmpl w:val="3222A6F4"/>
    <w:lvl w:ilvl="0" w:tplc="920E9626">
      <w:start w:val="1"/>
      <w:numFmt w:val="decimal"/>
      <w:lvlText w:val="%1."/>
      <w:lvlJc w:val="left"/>
      <w:pPr>
        <w:ind w:left="360" w:hanging="360"/>
      </w:pPr>
      <w:rPr>
        <w:rFonts w:hint="default"/>
        <w:b/>
      </w:r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4A4B58"/>
    <w:multiLevelType w:val="hybridMultilevel"/>
    <w:tmpl w:val="531CEB9A"/>
    <w:lvl w:ilvl="0" w:tplc="630653D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EF16523"/>
    <w:multiLevelType w:val="hybridMultilevel"/>
    <w:tmpl w:val="C79E9DEA"/>
    <w:lvl w:ilvl="0" w:tplc="2F22A3CE">
      <w:start w:val="1"/>
      <w:numFmt w:val="lowerRoman"/>
      <w:lvlText w:val="(%1)"/>
      <w:lvlJc w:val="left"/>
      <w:pPr>
        <w:ind w:left="1428" w:hanging="72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2" w15:restartNumberingAfterBreak="0">
    <w:nsid w:val="426C6427"/>
    <w:multiLevelType w:val="hybridMultilevel"/>
    <w:tmpl w:val="EA3A647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297534B"/>
    <w:multiLevelType w:val="hybridMultilevel"/>
    <w:tmpl w:val="21D8B72E"/>
    <w:lvl w:ilvl="0" w:tplc="EE302AB8">
      <w:start w:val="1"/>
      <w:numFmt w:val="lowerLetter"/>
      <w:lvlText w:val="%1)"/>
      <w:lvlJc w:val="left"/>
      <w:pPr>
        <w:ind w:left="990" w:hanging="360"/>
      </w:pPr>
      <w:rPr>
        <w:rFonts w:hint="default"/>
      </w:rPr>
    </w:lvl>
    <w:lvl w:ilvl="1" w:tplc="08090019">
      <w:start w:val="1"/>
      <w:numFmt w:val="lowerLetter"/>
      <w:lvlText w:val="%2."/>
      <w:lvlJc w:val="left"/>
      <w:pPr>
        <w:ind w:left="1710" w:hanging="360"/>
      </w:pPr>
    </w:lvl>
    <w:lvl w:ilvl="2" w:tplc="0809001B" w:tentative="1">
      <w:start w:val="1"/>
      <w:numFmt w:val="lowerRoman"/>
      <w:lvlText w:val="%3."/>
      <w:lvlJc w:val="right"/>
      <w:pPr>
        <w:ind w:left="2430" w:hanging="180"/>
      </w:pPr>
    </w:lvl>
    <w:lvl w:ilvl="3" w:tplc="0809000F" w:tentative="1">
      <w:start w:val="1"/>
      <w:numFmt w:val="decimal"/>
      <w:lvlText w:val="%4."/>
      <w:lvlJc w:val="left"/>
      <w:pPr>
        <w:ind w:left="3150" w:hanging="360"/>
      </w:pPr>
    </w:lvl>
    <w:lvl w:ilvl="4" w:tplc="08090019" w:tentative="1">
      <w:start w:val="1"/>
      <w:numFmt w:val="lowerLetter"/>
      <w:lvlText w:val="%5."/>
      <w:lvlJc w:val="left"/>
      <w:pPr>
        <w:ind w:left="3870" w:hanging="360"/>
      </w:pPr>
    </w:lvl>
    <w:lvl w:ilvl="5" w:tplc="0809001B" w:tentative="1">
      <w:start w:val="1"/>
      <w:numFmt w:val="lowerRoman"/>
      <w:lvlText w:val="%6."/>
      <w:lvlJc w:val="right"/>
      <w:pPr>
        <w:ind w:left="4590" w:hanging="180"/>
      </w:pPr>
    </w:lvl>
    <w:lvl w:ilvl="6" w:tplc="0809000F" w:tentative="1">
      <w:start w:val="1"/>
      <w:numFmt w:val="decimal"/>
      <w:lvlText w:val="%7."/>
      <w:lvlJc w:val="left"/>
      <w:pPr>
        <w:ind w:left="5310" w:hanging="360"/>
      </w:pPr>
    </w:lvl>
    <w:lvl w:ilvl="7" w:tplc="08090019" w:tentative="1">
      <w:start w:val="1"/>
      <w:numFmt w:val="lowerLetter"/>
      <w:lvlText w:val="%8."/>
      <w:lvlJc w:val="left"/>
      <w:pPr>
        <w:ind w:left="6030" w:hanging="360"/>
      </w:pPr>
    </w:lvl>
    <w:lvl w:ilvl="8" w:tplc="0809001B" w:tentative="1">
      <w:start w:val="1"/>
      <w:numFmt w:val="lowerRoman"/>
      <w:lvlText w:val="%9."/>
      <w:lvlJc w:val="right"/>
      <w:pPr>
        <w:ind w:left="6750" w:hanging="180"/>
      </w:pPr>
    </w:lvl>
  </w:abstractNum>
  <w:abstractNum w:abstractNumId="14" w15:restartNumberingAfterBreak="0">
    <w:nsid w:val="4BF70533"/>
    <w:multiLevelType w:val="hybridMultilevel"/>
    <w:tmpl w:val="EF10E522"/>
    <w:lvl w:ilvl="0" w:tplc="3A04258C">
      <w:start w:val="2"/>
      <w:numFmt w:val="decimal"/>
      <w:lvlText w:val="%1"/>
      <w:lvlJc w:val="left"/>
      <w:pPr>
        <w:ind w:left="630" w:hanging="360"/>
      </w:pPr>
      <w:rPr>
        <w:rFonts w:hint="default"/>
      </w:rPr>
    </w:lvl>
    <w:lvl w:ilvl="1" w:tplc="08090019">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15" w15:restartNumberingAfterBreak="0">
    <w:nsid w:val="53D022B8"/>
    <w:multiLevelType w:val="hybridMultilevel"/>
    <w:tmpl w:val="ECA8A3F6"/>
    <w:lvl w:ilvl="0" w:tplc="FBA6D8CE">
      <w:start w:val="1"/>
      <w:numFmt w:val="decimal"/>
      <w:lvlText w:val="%1."/>
      <w:lvlJc w:val="left"/>
      <w:pPr>
        <w:ind w:left="630" w:hanging="360"/>
      </w:pPr>
      <w:rPr>
        <w:rFonts w:hint="default"/>
      </w:r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16" w15:restartNumberingAfterBreak="0">
    <w:nsid w:val="751530DF"/>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7BBE7877"/>
    <w:multiLevelType w:val="hybridMultilevel"/>
    <w:tmpl w:val="EF10E522"/>
    <w:lvl w:ilvl="0" w:tplc="3A04258C">
      <w:start w:val="2"/>
      <w:numFmt w:val="decimal"/>
      <w:lvlText w:val="%1"/>
      <w:lvlJc w:val="left"/>
      <w:pPr>
        <w:ind w:left="630" w:hanging="360"/>
      </w:pPr>
      <w:rPr>
        <w:rFonts w:hint="default"/>
      </w:rPr>
    </w:lvl>
    <w:lvl w:ilvl="1" w:tplc="08090019">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num w:numId="1" w16cid:durableId="504368086">
    <w:abstractNumId w:val="12"/>
  </w:num>
  <w:num w:numId="2" w16cid:durableId="166216825">
    <w:abstractNumId w:val="1"/>
  </w:num>
  <w:num w:numId="3" w16cid:durableId="70203962">
    <w:abstractNumId w:val="6"/>
  </w:num>
  <w:num w:numId="4" w16cid:durableId="1053844036">
    <w:abstractNumId w:val="8"/>
  </w:num>
  <w:num w:numId="5" w16cid:durableId="700669320">
    <w:abstractNumId w:val="11"/>
  </w:num>
  <w:num w:numId="6" w16cid:durableId="113404703">
    <w:abstractNumId w:val="10"/>
  </w:num>
  <w:num w:numId="7" w16cid:durableId="26489039">
    <w:abstractNumId w:val="9"/>
  </w:num>
  <w:num w:numId="8" w16cid:durableId="1915309723">
    <w:abstractNumId w:val="3"/>
  </w:num>
  <w:num w:numId="9" w16cid:durableId="1689213005">
    <w:abstractNumId w:val="5"/>
  </w:num>
  <w:num w:numId="10" w16cid:durableId="1225529117">
    <w:abstractNumId w:val="14"/>
  </w:num>
  <w:num w:numId="11" w16cid:durableId="1070663217">
    <w:abstractNumId w:val="15"/>
  </w:num>
  <w:num w:numId="12" w16cid:durableId="893470688">
    <w:abstractNumId w:val="13"/>
  </w:num>
  <w:num w:numId="13" w16cid:durableId="685904067">
    <w:abstractNumId w:val="7"/>
  </w:num>
  <w:num w:numId="14" w16cid:durableId="1821652108">
    <w:abstractNumId w:val="2"/>
  </w:num>
  <w:num w:numId="15" w16cid:durableId="1440415834">
    <w:abstractNumId w:val="17"/>
  </w:num>
  <w:num w:numId="16" w16cid:durableId="37046676">
    <w:abstractNumId w:val="4"/>
  </w:num>
  <w:num w:numId="17" w16cid:durableId="1185091928">
    <w:abstractNumId w:val="16"/>
  </w:num>
  <w:num w:numId="18" w16cid:durableId="1765954953">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0NTIyB5OmJqbGxuZKOkrBqcXFmfl5IAWGtQD8t0moLAAAAA=="/>
  </w:docVars>
  <w:rsids>
    <w:rsidRoot w:val="00884593"/>
    <w:rsid w:val="00000494"/>
    <w:rsid w:val="000019FB"/>
    <w:rsid w:val="00001AC8"/>
    <w:rsid w:val="000025C3"/>
    <w:rsid w:val="000029FD"/>
    <w:rsid w:val="00004348"/>
    <w:rsid w:val="000045A4"/>
    <w:rsid w:val="000045CA"/>
    <w:rsid w:val="000058C7"/>
    <w:rsid w:val="00010970"/>
    <w:rsid w:val="00011181"/>
    <w:rsid w:val="0001131A"/>
    <w:rsid w:val="000138AA"/>
    <w:rsid w:val="00013E37"/>
    <w:rsid w:val="0001446F"/>
    <w:rsid w:val="0001495F"/>
    <w:rsid w:val="00016247"/>
    <w:rsid w:val="00016D17"/>
    <w:rsid w:val="000175CE"/>
    <w:rsid w:val="00020F0E"/>
    <w:rsid w:val="00022B3A"/>
    <w:rsid w:val="00022EC0"/>
    <w:rsid w:val="000230B4"/>
    <w:rsid w:val="000236E7"/>
    <w:rsid w:val="00023E1A"/>
    <w:rsid w:val="00025873"/>
    <w:rsid w:val="0002606A"/>
    <w:rsid w:val="00027368"/>
    <w:rsid w:val="00027EFA"/>
    <w:rsid w:val="000304A6"/>
    <w:rsid w:val="000307EA"/>
    <w:rsid w:val="000324D0"/>
    <w:rsid w:val="0003271E"/>
    <w:rsid w:val="000339A7"/>
    <w:rsid w:val="000339FD"/>
    <w:rsid w:val="0003504E"/>
    <w:rsid w:val="0003793A"/>
    <w:rsid w:val="00037A20"/>
    <w:rsid w:val="00040115"/>
    <w:rsid w:val="00040BB8"/>
    <w:rsid w:val="00040DF5"/>
    <w:rsid w:val="00042759"/>
    <w:rsid w:val="00043844"/>
    <w:rsid w:val="00043C54"/>
    <w:rsid w:val="000450BB"/>
    <w:rsid w:val="00045CD5"/>
    <w:rsid w:val="00046808"/>
    <w:rsid w:val="00051D0A"/>
    <w:rsid w:val="00052842"/>
    <w:rsid w:val="0005404F"/>
    <w:rsid w:val="0005423E"/>
    <w:rsid w:val="00054719"/>
    <w:rsid w:val="000553F4"/>
    <w:rsid w:val="00055F7A"/>
    <w:rsid w:val="0005767D"/>
    <w:rsid w:val="0005788B"/>
    <w:rsid w:val="0006120B"/>
    <w:rsid w:val="00061401"/>
    <w:rsid w:val="0006191E"/>
    <w:rsid w:val="00064FEB"/>
    <w:rsid w:val="00065A9A"/>
    <w:rsid w:val="00072EDE"/>
    <w:rsid w:val="00073B3D"/>
    <w:rsid w:val="0007622E"/>
    <w:rsid w:val="00077800"/>
    <w:rsid w:val="000800A5"/>
    <w:rsid w:val="00080A38"/>
    <w:rsid w:val="00084E1B"/>
    <w:rsid w:val="00085E1C"/>
    <w:rsid w:val="00086E4F"/>
    <w:rsid w:val="0008724D"/>
    <w:rsid w:val="000878D9"/>
    <w:rsid w:val="000924A7"/>
    <w:rsid w:val="0009292D"/>
    <w:rsid w:val="00092AAE"/>
    <w:rsid w:val="00094722"/>
    <w:rsid w:val="00094A58"/>
    <w:rsid w:val="000961A3"/>
    <w:rsid w:val="000A0BB8"/>
    <w:rsid w:val="000A159A"/>
    <w:rsid w:val="000A2EA4"/>
    <w:rsid w:val="000A35BA"/>
    <w:rsid w:val="000A3E8F"/>
    <w:rsid w:val="000A4CE4"/>
    <w:rsid w:val="000A63C3"/>
    <w:rsid w:val="000A64A7"/>
    <w:rsid w:val="000A66FF"/>
    <w:rsid w:val="000B2E70"/>
    <w:rsid w:val="000B38CC"/>
    <w:rsid w:val="000B474D"/>
    <w:rsid w:val="000B5D72"/>
    <w:rsid w:val="000B626A"/>
    <w:rsid w:val="000B6B4F"/>
    <w:rsid w:val="000C148C"/>
    <w:rsid w:val="000C1F8C"/>
    <w:rsid w:val="000C3592"/>
    <w:rsid w:val="000C43A7"/>
    <w:rsid w:val="000C5A78"/>
    <w:rsid w:val="000C7F66"/>
    <w:rsid w:val="000D077E"/>
    <w:rsid w:val="000D50E9"/>
    <w:rsid w:val="000D5C4D"/>
    <w:rsid w:val="000D71DF"/>
    <w:rsid w:val="000D7A7C"/>
    <w:rsid w:val="000D7BE5"/>
    <w:rsid w:val="000E033E"/>
    <w:rsid w:val="000E23E0"/>
    <w:rsid w:val="000E2A0D"/>
    <w:rsid w:val="000E2CE5"/>
    <w:rsid w:val="000E4BCE"/>
    <w:rsid w:val="000F0060"/>
    <w:rsid w:val="000F0B11"/>
    <w:rsid w:val="000F1829"/>
    <w:rsid w:val="000F1AA3"/>
    <w:rsid w:val="000F2D97"/>
    <w:rsid w:val="000F3BB9"/>
    <w:rsid w:val="000F46E9"/>
    <w:rsid w:val="000F574B"/>
    <w:rsid w:val="000F67BA"/>
    <w:rsid w:val="001006CB"/>
    <w:rsid w:val="00100826"/>
    <w:rsid w:val="00103F9B"/>
    <w:rsid w:val="0010458B"/>
    <w:rsid w:val="00104EC8"/>
    <w:rsid w:val="001052C2"/>
    <w:rsid w:val="0010549A"/>
    <w:rsid w:val="00107083"/>
    <w:rsid w:val="001076FB"/>
    <w:rsid w:val="001108AC"/>
    <w:rsid w:val="0011098A"/>
    <w:rsid w:val="0011309B"/>
    <w:rsid w:val="00114D30"/>
    <w:rsid w:val="0011612F"/>
    <w:rsid w:val="001176D2"/>
    <w:rsid w:val="0011772B"/>
    <w:rsid w:val="00117B01"/>
    <w:rsid w:val="00120BC1"/>
    <w:rsid w:val="00121CE3"/>
    <w:rsid w:val="00121E86"/>
    <w:rsid w:val="001225B6"/>
    <w:rsid w:val="00123587"/>
    <w:rsid w:val="001244E4"/>
    <w:rsid w:val="00125DA7"/>
    <w:rsid w:val="00126745"/>
    <w:rsid w:val="0013091A"/>
    <w:rsid w:val="001312B7"/>
    <w:rsid w:val="001324FC"/>
    <w:rsid w:val="00134EBB"/>
    <w:rsid w:val="001357B8"/>
    <w:rsid w:val="00136107"/>
    <w:rsid w:val="00136171"/>
    <w:rsid w:val="00140934"/>
    <w:rsid w:val="00141DF3"/>
    <w:rsid w:val="00141EC4"/>
    <w:rsid w:val="001424BE"/>
    <w:rsid w:val="00143657"/>
    <w:rsid w:val="001448B5"/>
    <w:rsid w:val="001469CA"/>
    <w:rsid w:val="00147387"/>
    <w:rsid w:val="0014750E"/>
    <w:rsid w:val="00150042"/>
    <w:rsid w:val="001506D6"/>
    <w:rsid w:val="00151FD9"/>
    <w:rsid w:val="0015217F"/>
    <w:rsid w:val="00154FE5"/>
    <w:rsid w:val="0016046B"/>
    <w:rsid w:val="0016124F"/>
    <w:rsid w:val="00162879"/>
    <w:rsid w:val="001631B1"/>
    <w:rsid w:val="00163282"/>
    <w:rsid w:val="00171AE9"/>
    <w:rsid w:val="00172BCC"/>
    <w:rsid w:val="00173D15"/>
    <w:rsid w:val="00173E16"/>
    <w:rsid w:val="00174F4C"/>
    <w:rsid w:val="00177380"/>
    <w:rsid w:val="00177A70"/>
    <w:rsid w:val="00181439"/>
    <w:rsid w:val="00181FAA"/>
    <w:rsid w:val="00182767"/>
    <w:rsid w:val="00185493"/>
    <w:rsid w:val="00185C0D"/>
    <w:rsid w:val="001900F7"/>
    <w:rsid w:val="00190D46"/>
    <w:rsid w:val="00194379"/>
    <w:rsid w:val="00194FE1"/>
    <w:rsid w:val="00195E39"/>
    <w:rsid w:val="001A37BA"/>
    <w:rsid w:val="001A42FE"/>
    <w:rsid w:val="001A44F6"/>
    <w:rsid w:val="001A4F78"/>
    <w:rsid w:val="001A7612"/>
    <w:rsid w:val="001B02BD"/>
    <w:rsid w:val="001B1EDC"/>
    <w:rsid w:val="001B2A70"/>
    <w:rsid w:val="001B4209"/>
    <w:rsid w:val="001B506E"/>
    <w:rsid w:val="001B5B0B"/>
    <w:rsid w:val="001C2C48"/>
    <w:rsid w:val="001C4475"/>
    <w:rsid w:val="001C44EF"/>
    <w:rsid w:val="001C4564"/>
    <w:rsid w:val="001C46DD"/>
    <w:rsid w:val="001C4730"/>
    <w:rsid w:val="001C4B62"/>
    <w:rsid w:val="001D18DC"/>
    <w:rsid w:val="001D242A"/>
    <w:rsid w:val="001D287C"/>
    <w:rsid w:val="001D3A63"/>
    <w:rsid w:val="001D4615"/>
    <w:rsid w:val="001D4A6E"/>
    <w:rsid w:val="001D5949"/>
    <w:rsid w:val="001D61F7"/>
    <w:rsid w:val="001D7205"/>
    <w:rsid w:val="001D7292"/>
    <w:rsid w:val="001E235F"/>
    <w:rsid w:val="001E2667"/>
    <w:rsid w:val="001E2B01"/>
    <w:rsid w:val="001E2E7F"/>
    <w:rsid w:val="001E5864"/>
    <w:rsid w:val="001E6D9F"/>
    <w:rsid w:val="001E7323"/>
    <w:rsid w:val="001F1D62"/>
    <w:rsid w:val="001F205B"/>
    <w:rsid w:val="001F4D1E"/>
    <w:rsid w:val="001F4FAE"/>
    <w:rsid w:val="001F5CE1"/>
    <w:rsid w:val="001F5D1C"/>
    <w:rsid w:val="001F6616"/>
    <w:rsid w:val="001F7C96"/>
    <w:rsid w:val="00202013"/>
    <w:rsid w:val="0020340B"/>
    <w:rsid w:val="00204255"/>
    <w:rsid w:val="002045B0"/>
    <w:rsid w:val="00204BEC"/>
    <w:rsid w:val="002062EF"/>
    <w:rsid w:val="002078CA"/>
    <w:rsid w:val="00210A33"/>
    <w:rsid w:val="002116FC"/>
    <w:rsid w:val="00211E1F"/>
    <w:rsid w:val="002128DF"/>
    <w:rsid w:val="00213056"/>
    <w:rsid w:val="00213679"/>
    <w:rsid w:val="00213854"/>
    <w:rsid w:val="00214A77"/>
    <w:rsid w:val="002174D5"/>
    <w:rsid w:val="00220271"/>
    <w:rsid w:val="00220B44"/>
    <w:rsid w:val="00225954"/>
    <w:rsid w:val="0022707D"/>
    <w:rsid w:val="00227EB3"/>
    <w:rsid w:val="00230267"/>
    <w:rsid w:val="002323B0"/>
    <w:rsid w:val="0023427B"/>
    <w:rsid w:val="002343ED"/>
    <w:rsid w:val="00234820"/>
    <w:rsid w:val="00235581"/>
    <w:rsid w:val="00235EAA"/>
    <w:rsid w:val="00237274"/>
    <w:rsid w:val="00237B13"/>
    <w:rsid w:val="00241608"/>
    <w:rsid w:val="00242AAD"/>
    <w:rsid w:val="00244362"/>
    <w:rsid w:val="002466A1"/>
    <w:rsid w:val="002469A1"/>
    <w:rsid w:val="002500FE"/>
    <w:rsid w:val="00255465"/>
    <w:rsid w:val="00255653"/>
    <w:rsid w:val="00256074"/>
    <w:rsid w:val="002568C2"/>
    <w:rsid w:val="002613BF"/>
    <w:rsid w:val="00262CFD"/>
    <w:rsid w:val="00264219"/>
    <w:rsid w:val="0026513D"/>
    <w:rsid w:val="00265A98"/>
    <w:rsid w:val="00267139"/>
    <w:rsid w:val="002762C7"/>
    <w:rsid w:val="00276602"/>
    <w:rsid w:val="00276CDC"/>
    <w:rsid w:val="0027791B"/>
    <w:rsid w:val="002800E7"/>
    <w:rsid w:val="0028271E"/>
    <w:rsid w:val="00282D9D"/>
    <w:rsid w:val="002845F6"/>
    <w:rsid w:val="0028705D"/>
    <w:rsid w:val="002874B7"/>
    <w:rsid w:val="00290A50"/>
    <w:rsid w:val="00291314"/>
    <w:rsid w:val="00291431"/>
    <w:rsid w:val="002915A9"/>
    <w:rsid w:val="00291DD8"/>
    <w:rsid w:val="00291DE2"/>
    <w:rsid w:val="0029262A"/>
    <w:rsid w:val="00292898"/>
    <w:rsid w:val="00292D6B"/>
    <w:rsid w:val="00293964"/>
    <w:rsid w:val="00293A5A"/>
    <w:rsid w:val="00295280"/>
    <w:rsid w:val="00295C3E"/>
    <w:rsid w:val="00295D8E"/>
    <w:rsid w:val="00296BC3"/>
    <w:rsid w:val="00296FD3"/>
    <w:rsid w:val="002973E6"/>
    <w:rsid w:val="002A0BD8"/>
    <w:rsid w:val="002A302B"/>
    <w:rsid w:val="002A4A9D"/>
    <w:rsid w:val="002A5CBC"/>
    <w:rsid w:val="002A694F"/>
    <w:rsid w:val="002A7620"/>
    <w:rsid w:val="002A78A0"/>
    <w:rsid w:val="002B1ACE"/>
    <w:rsid w:val="002B1EE9"/>
    <w:rsid w:val="002B20D3"/>
    <w:rsid w:val="002B4D75"/>
    <w:rsid w:val="002B5605"/>
    <w:rsid w:val="002B5740"/>
    <w:rsid w:val="002B7194"/>
    <w:rsid w:val="002B7A07"/>
    <w:rsid w:val="002B7CB7"/>
    <w:rsid w:val="002C20DD"/>
    <w:rsid w:val="002C23E1"/>
    <w:rsid w:val="002C3153"/>
    <w:rsid w:val="002C3EB9"/>
    <w:rsid w:val="002C53A9"/>
    <w:rsid w:val="002C612C"/>
    <w:rsid w:val="002C63B7"/>
    <w:rsid w:val="002C79A0"/>
    <w:rsid w:val="002D0580"/>
    <w:rsid w:val="002D2B54"/>
    <w:rsid w:val="002D2D79"/>
    <w:rsid w:val="002D3224"/>
    <w:rsid w:val="002D32F5"/>
    <w:rsid w:val="002D3CE1"/>
    <w:rsid w:val="002D498F"/>
    <w:rsid w:val="002D4BBA"/>
    <w:rsid w:val="002D79BE"/>
    <w:rsid w:val="002E1CD9"/>
    <w:rsid w:val="002E3542"/>
    <w:rsid w:val="002E37F5"/>
    <w:rsid w:val="002E48B3"/>
    <w:rsid w:val="002E4A05"/>
    <w:rsid w:val="002E4F30"/>
    <w:rsid w:val="002E6142"/>
    <w:rsid w:val="002E6AEB"/>
    <w:rsid w:val="002F0ADB"/>
    <w:rsid w:val="002F0FF1"/>
    <w:rsid w:val="002F1CE0"/>
    <w:rsid w:val="002F301F"/>
    <w:rsid w:val="002F357C"/>
    <w:rsid w:val="002F3AE2"/>
    <w:rsid w:val="003011B5"/>
    <w:rsid w:val="003025A6"/>
    <w:rsid w:val="00302867"/>
    <w:rsid w:val="0030356E"/>
    <w:rsid w:val="003068B0"/>
    <w:rsid w:val="00310CAB"/>
    <w:rsid w:val="00313D55"/>
    <w:rsid w:val="003145ED"/>
    <w:rsid w:val="00315626"/>
    <w:rsid w:val="00315911"/>
    <w:rsid w:val="00316910"/>
    <w:rsid w:val="00316FEE"/>
    <w:rsid w:val="00317F44"/>
    <w:rsid w:val="003209D5"/>
    <w:rsid w:val="003218D9"/>
    <w:rsid w:val="00324D6F"/>
    <w:rsid w:val="00324E7C"/>
    <w:rsid w:val="00327D11"/>
    <w:rsid w:val="00327D22"/>
    <w:rsid w:val="0033022C"/>
    <w:rsid w:val="003317FC"/>
    <w:rsid w:val="00332E61"/>
    <w:rsid w:val="00332E79"/>
    <w:rsid w:val="00332EDB"/>
    <w:rsid w:val="003334DF"/>
    <w:rsid w:val="00333C6A"/>
    <w:rsid w:val="0033531B"/>
    <w:rsid w:val="00337DAF"/>
    <w:rsid w:val="003404EA"/>
    <w:rsid w:val="0034072D"/>
    <w:rsid w:val="0034099E"/>
    <w:rsid w:val="00341575"/>
    <w:rsid w:val="00342C99"/>
    <w:rsid w:val="003434BF"/>
    <w:rsid w:val="003440BA"/>
    <w:rsid w:val="003468D9"/>
    <w:rsid w:val="00347E6A"/>
    <w:rsid w:val="00351FB8"/>
    <w:rsid w:val="00352529"/>
    <w:rsid w:val="00353E33"/>
    <w:rsid w:val="00355C63"/>
    <w:rsid w:val="003567EA"/>
    <w:rsid w:val="0036000E"/>
    <w:rsid w:val="00360165"/>
    <w:rsid w:val="0036097E"/>
    <w:rsid w:val="00360DF1"/>
    <w:rsid w:val="00360FEC"/>
    <w:rsid w:val="00361480"/>
    <w:rsid w:val="003634A2"/>
    <w:rsid w:val="00363747"/>
    <w:rsid w:val="00370940"/>
    <w:rsid w:val="00371457"/>
    <w:rsid w:val="003732A6"/>
    <w:rsid w:val="003732FA"/>
    <w:rsid w:val="003736E7"/>
    <w:rsid w:val="00374D4C"/>
    <w:rsid w:val="003756B5"/>
    <w:rsid w:val="00375D7B"/>
    <w:rsid w:val="00376987"/>
    <w:rsid w:val="0038074B"/>
    <w:rsid w:val="00380C2F"/>
    <w:rsid w:val="003851ED"/>
    <w:rsid w:val="0038541F"/>
    <w:rsid w:val="00385EA0"/>
    <w:rsid w:val="00391358"/>
    <w:rsid w:val="00391A98"/>
    <w:rsid w:val="00392EBA"/>
    <w:rsid w:val="0039504E"/>
    <w:rsid w:val="003958B9"/>
    <w:rsid w:val="0039737B"/>
    <w:rsid w:val="003A0E5D"/>
    <w:rsid w:val="003A34D8"/>
    <w:rsid w:val="003A3790"/>
    <w:rsid w:val="003A54A5"/>
    <w:rsid w:val="003A5866"/>
    <w:rsid w:val="003A5BE6"/>
    <w:rsid w:val="003B017E"/>
    <w:rsid w:val="003B2243"/>
    <w:rsid w:val="003B2D80"/>
    <w:rsid w:val="003B338A"/>
    <w:rsid w:val="003B3768"/>
    <w:rsid w:val="003B3798"/>
    <w:rsid w:val="003B7E37"/>
    <w:rsid w:val="003C10E3"/>
    <w:rsid w:val="003C2E04"/>
    <w:rsid w:val="003C367B"/>
    <w:rsid w:val="003C4276"/>
    <w:rsid w:val="003C5437"/>
    <w:rsid w:val="003D0A91"/>
    <w:rsid w:val="003D2210"/>
    <w:rsid w:val="003D2B6D"/>
    <w:rsid w:val="003D2F8C"/>
    <w:rsid w:val="003D3BE7"/>
    <w:rsid w:val="003D43C3"/>
    <w:rsid w:val="003D5E12"/>
    <w:rsid w:val="003E02ED"/>
    <w:rsid w:val="003E17C9"/>
    <w:rsid w:val="003E1823"/>
    <w:rsid w:val="003E38AE"/>
    <w:rsid w:val="003E7C26"/>
    <w:rsid w:val="003E7F90"/>
    <w:rsid w:val="003F0C1B"/>
    <w:rsid w:val="003F1AE5"/>
    <w:rsid w:val="003F1E61"/>
    <w:rsid w:val="003F29D2"/>
    <w:rsid w:val="003F3F71"/>
    <w:rsid w:val="003F4E19"/>
    <w:rsid w:val="003F4F27"/>
    <w:rsid w:val="003F6264"/>
    <w:rsid w:val="003F7511"/>
    <w:rsid w:val="003F78CA"/>
    <w:rsid w:val="004040BC"/>
    <w:rsid w:val="00405587"/>
    <w:rsid w:val="0040655D"/>
    <w:rsid w:val="00413567"/>
    <w:rsid w:val="0041409F"/>
    <w:rsid w:val="00415D60"/>
    <w:rsid w:val="0041663A"/>
    <w:rsid w:val="004167BF"/>
    <w:rsid w:val="004200AB"/>
    <w:rsid w:val="00420B30"/>
    <w:rsid w:val="00423702"/>
    <w:rsid w:val="00424946"/>
    <w:rsid w:val="0042500C"/>
    <w:rsid w:val="00426145"/>
    <w:rsid w:val="00427763"/>
    <w:rsid w:val="004301EA"/>
    <w:rsid w:val="00431E73"/>
    <w:rsid w:val="0043343C"/>
    <w:rsid w:val="00435347"/>
    <w:rsid w:val="00436B75"/>
    <w:rsid w:val="004373B2"/>
    <w:rsid w:val="00437F91"/>
    <w:rsid w:val="004401B0"/>
    <w:rsid w:val="00442807"/>
    <w:rsid w:val="00443DF3"/>
    <w:rsid w:val="00444D24"/>
    <w:rsid w:val="00445073"/>
    <w:rsid w:val="00447C4F"/>
    <w:rsid w:val="00447C81"/>
    <w:rsid w:val="0045066A"/>
    <w:rsid w:val="004518A1"/>
    <w:rsid w:val="00451DE2"/>
    <w:rsid w:val="00452A65"/>
    <w:rsid w:val="00452B8B"/>
    <w:rsid w:val="00453492"/>
    <w:rsid w:val="00455219"/>
    <w:rsid w:val="004565D5"/>
    <w:rsid w:val="0045727B"/>
    <w:rsid w:val="00461091"/>
    <w:rsid w:val="0046122B"/>
    <w:rsid w:val="004623BD"/>
    <w:rsid w:val="00462B0C"/>
    <w:rsid w:val="00463214"/>
    <w:rsid w:val="00463718"/>
    <w:rsid w:val="00464044"/>
    <w:rsid w:val="00466494"/>
    <w:rsid w:val="0046654A"/>
    <w:rsid w:val="0046685D"/>
    <w:rsid w:val="00466D72"/>
    <w:rsid w:val="00466E43"/>
    <w:rsid w:val="00467D11"/>
    <w:rsid w:val="004721BB"/>
    <w:rsid w:val="00472F24"/>
    <w:rsid w:val="00473249"/>
    <w:rsid w:val="00473396"/>
    <w:rsid w:val="00476761"/>
    <w:rsid w:val="00477DF6"/>
    <w:rsid w:val="00477E6D"/>
    <w:rsid w:val="00480326"/>
    <w:rsid w:val="0048083B"/>
    <w:rsid w:val="00480F7A"/>
    <w:rsid w:val="004810A6"/>
    <w:rsid w:val="0048200F"/>
    <w:rsid w:val="00484552"/>
    <w:rsid w:val="004851B9"/>
    <w:rsid w:val="00486DFA"/>
    <w:rsid w:val="00487518"/>
    <w:rsid w:val="0049499E"/>
    <w:rsid w:val="00497320"/>
    <w:rsid w:val="004A02B1"/>
    <w:rsid w:val="004A05A2"/>
    <w:rsid w:val="004A0E4C"/>
    <w:rsid w:val="004A1250"/>
    <w:rsid w:val="004A1A58"/>
    <w:rsid w:val="004A1B81"/>
    <w:rsid w:val="004A2053"/>
    <w:rsid w:val="004A4B2C"/>
    <w:rsid w:val="004A56D4"/>
    <w:rsid w:val="004A666E"/>
    <w:rsid w:val="004A6D93"/>
    <w:rsid w:val="004B1979"/>
    <w:rsid w:val="004B218C"/>
    <w:rsid w:val="004B4D8E"/>
    <w:rsid w:val="004B5332"/>
    <w:rsid w:val="004B6540"/>
    <w:rsid w:val="004B6E17"/>
    <w:rsid w:val="004B7018"/>
    <w:rsid w:val="004C07F8"/>
    <w:rsid w:val="004C194C"/>
    <w:rsid w:val="004C34DA"/>
    <w:rsid w:val="004C36C5"/>
    <w:rsid w:val="004C3D8D"/>
    <w:rsid w:val="004C481E"/>
    <w:rsid w:val="004C6F8E"/>
    <w:rsid w:val="004D2634"/>
    <w:rsid w:val="004D3D65"/>
    <w:rsid w:val="004D3D6D"/>
    <w:rsid w:val="004D4A68"/>
    <w:rsid w:val="004D500E"/>
    <w:rsid w:val="004D50BF"/>
    <w:rsid w:val="004D7915"/>
    <w:rsid w:val="004E29E1"/>
    <w:rsid w:val="004E3B25"/>
    <w:rsid w:val="004E7F16"/>
    <w:rsid w:val="004F0300"/>
    <w:rsid w:val="004F140E"/>
    <w:rsid w:val="004F223B"/>
    <w:rsid w:val="004F283C"/>
    <w:rsid w:val="004F2B6D"/>
    <w:rsid w:val="004F3E21"/>
    <w:rsid w:val="004F5177"/>
    <w:rsid w:val="004F5DB9"/>
    <w:rsid w:val="004F6134"/>
    <w:rsid w:val="004F6998"/>
    <w:rsid w:val="004F6A48"/>
    <w:rsid w:val="004F706C"/>
    <w:rsid w:val="00501AE7"/>
    <w:rsid w:val="00501D40"/>
    <w:rsid w:val="00503E79"/>
    <w:rsid w:val="005049C5"/>
    <w:rsid w:val="00505444"/>
    <w:rsid w:val="005067B4"/>
    <w:rsid w:val="00506C6E"/>
    <w:rsid w:val="005113D6"/>
    <w:rsid w:val="005140BF"/>
    <w:rsid w:val="005142A8"/>
    <w:rsid w:val="0051495F"/>
    <w:rsid w:val="00514D6D"/>
    <w:rsid w:val="00515E13"/>
    <w:rsid w:val="0051613E"/>
    <w:rsid w:val="005166ED"/>
    <w:rsid w:val="00517088"/>
    <w:rsid w:val="00517E69"/>
    <w:rsid w:val="0052344D"/>
    <w:rsid w:val="005240FC"/>
    <w:rsid w:val="00524730"/>
    <w:rsid w:val="005252FC"/>
    <w:rsid w:val="0052543D"/>
    <w:rsid w:val="00525739"/>
    <w:rsid w:val="005275A7"/>
    <w:rsid w:val="00527FCE"/>
    <w:rsid w:val="00533CAA"/>
    <w:rsid w:val="0053691F"/>
    <w:rsid w:val="00537BCF"/>
    <w:rsid w:val="00541331"/>
    <w:rsid w:val="00543D10"/>
    <w:rsid w:val="0054578B"/>
    <w:rsid w:val="0054677B"/>
    <w:rsid w:val="00546E86"/>
    <w:rsid w:val="00546F89"/>
    <w:rsid w:val="005470E3"/>
    <w:rsid w:val="00552496"/>
    <w:rsid w:val="00553498"/>
    <w:rsid w:val="00555B19"/>
    <w:rsid w:val="005573DD"/>
    <w:rsid w:val="00561ABD"/>
    <w:rsid w:val="005623AB"/>
    <w:rsid w:val="0056297E"/>
    <w:rsid w:val="005639C1"/>
    <w:rsid w:val="005644B6"/>
    <w:rsid w:val="00564881"/>
    <w:rsid w:val="00564B52"/>
    <w:rsid w:val="00565099"/>
    <w:rsid w:val="005670FD"/>
    <w:rsid w:val="00567501"/>
    <w:rsid w:val="00567670"/>
    <w:rsid w:val="00567B51"/>
    <w:rsid w:val="005704B5"/>
    <w:rsid w:val="00570A55"/>
    <w:rsid w:val="00570C88"/>
    <w:rsid w:val="0057203B"/>
    <w:rsid w:val="0057206E"/>
    <w:rsid w:val="005729D0"/>
    <w:rsid w:val="00572F4C"/>
    <w:rsid w:val="00577349"/>
    <w:rsid w:val="005773A9"/>
    <w:rsid w:val="005773F3"/>
    <w:rsid w:val="0058048F"/>
    <w:rsid w:val="00583E07"/>
    <w:rsid w:val="00583E9F"/>
    <w:rsid w:val="00584C29"/>
    <w:rsid w:val="00585491"/>
    <w:rsid w:val="005864E0"/>
    <w:rsid w:val="00586A14"/>
    <w:rsid w:val="0059072E"/>
    <w:rsid w:val="00590D57"/>
    <w:rsid w:val="00591847"/>
    <w:rsid w:val="00591856"/>
    <w:rsid w:val="005918AA"/>
    <w:rsid w:val="00592517"/>
    <w:rsid w:val="00593FB5"/>
    <w:rsid w:val="005940E1"/>
    <w:rsid w:val="00595AD7"/>
    <w:rsid w:val="00596624"/>
    <w:rsid w:val="00596A68"/>
    <w:rsid w:val="005A19A8"/>
    <w:rsid w:val="005A2821"/>
    <w:rsid w:val="005A3D22"/>
    <w:rsid w:val="005A3F76"/>
    <w:rsid w:val="005A4BCB"/>
    <w:rsid w:val="005A53A7"/>
    <w:rsid w:val="005A63C0"/>
    <w:rsid w:val="005A66E5"/>
    <w:rsid w:val="005A77F7"/>
    <w:rsid w:val="005A7D7B"/>
    <w:rsid w:val="005B0A54"/>
    <w:rsid w:val="005B0ED8"/>
    <w:rsid w:val="005B0F72"/>
    <w:rsid w:val="005B3529"/>
    <w:rsid w:val="005B3D20"/>
    <w:rsid w:val="005B4AD3"/>
    <w:rsid w:val="005B61A9"/>
    <w:rsid w:val="005B79B4"/>
    <w:rsid w:val="005B7DC9"/>
    <w:rsid w:val="005C038E"/>
    <w:rsid w:val="005C052E"/>
    <w:rsid w:val="005C38BD"/>
    <w:rsid w:val="005C49FA"/>
    <w:rsid w:val="005C51A4"/>
    <w:rsid w:val="005C5DF7"/>
    <w:rsid w:val="005C680E"/>
    <w:rsid w:val="005C76C6"/>
    <w:rsid w:val="005C7BC2"/>
    <w:rsid w:val="005D023F"/>
    <w:rsid w:val="005D26FD"/>
    <w:rsid w:val="005D2ADC"/>
    <w:rsid w:val="005D2B84"/>
    <w:rsid w:val="005D4926"/>
    <w:rsid w:val="005D5C11"/>
    <w:rsid w:val="005D5E61"/>
    <w:rsid w:val="005E0027"/>
    <w:rsid w:val="005E31FE"/>
    <w:rsid w:val="005E3412"/>
    <w:rsid w:val="005E3F92"/>
    <w:rsid w:val="005E4DF4"/>
    <w:rsid w:val="005E529D"/>
    <w:rsid w:val="005F39A8"/>
    <w:rsid w:val="005F60C7"/>
    <w:rsid w:val="005F6E50"/>
    <w:rsid w:val="005F6F0C"/>
    <w:rsid w:val="00601031"/>
    <w:rsid w:val="00602586"/>
    <w:rsid w:val="0060372B"/>
    <w:rsid w:val="006038E2"/>
    <w:rsid w:val="00604857"/>
    <w:rsid w:val="006063D1"/>
    <w:rsid w:val="00607079"/>
    <w:rsid w:val="00610D7A"/>
    <w:rsid w:val="0061145A"/>
    <w:rsid w:val="00611C9D"/>
    <w:rsid w:val="00615F4E"/>
    <w:rsid w:val="00617400"/>
    <w:rsid w:val="00620859"/>
    <w:rsid w:val="00621747"/>
    <w:rsid w:val="006217A4"/>
    <w:rsid w:val="006220B2"/>
    <w:rsid w:val="00623011"/>
    <w:rsid w:val="0062338F"/>
    <w:rsid w:val="006264AF"/>
    <w:rsid w:val="0062687A"/>
    <w:rsid w:val="00626F94"/>
    <w:rsid w:val="00627FEA"/>
    <w:rsid w:val="0063144D"/>
    <w:rsid w:val="00635F07"/>
    <w:rsid w:val="0063678B"/>
    <w:rsid w:val="00642CA6"/>
    <w:rsid w:val="00643353"/>
    <w:rsid w:val="0064366E"/>
    <w:rsid w:val="0064495C"/>
    <w:rsid w:val="00646BC1"/>
    <w:rsid w:val="00646C8D"/>
    <w:rsid w:val="00646CA3"/>
    <w:rsid w:val="0064780D"/>
    <w:rsid w:val="00647D29"/>
    <w:rsid w:val="00651B5D"/>
    <w:rsid w:val="00653D86"/>
    <w:rsid w:val="00656153"/>
    <w:rsid w:val="0065652B"/>
    <w:rsid w:val="00656DB4"/>
    <w:rsid w:val="00656EAB"/>
    <w:rsid w:val="006579E9"/>
    <w:rsid w:val="00664373"/>
    <w:rsid w:val="0067093D"/>
    <w:rsid w:val="006719CE"/>
    <w:rsid w:val="00672CB3"/>
    <w:rsid w:val="00672CED"/>
    <w:rsid w:val="00673A46"/>
    <w:rsid w:val="0067799F"/>
    <w:rsid w:val="00677FD0"/>
    <w:rsid w:val="00677FF9"/>
    <w:rsid w:val="00680403"/>
    <w:rsid w:val="00680619"/>
    <w:rsid w:val="00680EA7"/>
    <w:rsid w:val="00683700"/>
    <w:rsid w:val="00683D06"/>
    <w:rsid w:val="00686F2E"/>
    <w:rsid w:val="00687262"/>
    <w:rsid w:val="00687B53"/>
    <w:rsid w:val="0069179E"/>
    <w:rsid w:val="00692473"/>
    <w:rsid w:val="00692A97"/>
    <w:rsid w:val="00693973"/>
    <w:rsid w:val="00694D35"/>
    <w:rsid w:val="006A0F56"/>
    <w:rsid w:val="006A25CC"/>
    <w:rsid w:val="006A2732"/>
    <w:rsid w:val="006A33D2"/>
    <w:rsid w:val="006A43D4"/>
    <w:rsid w:val="006A54BB"/>
    <w:rsid w:val="006B16BA"/>
    <w:rsid w:val="006B33E6"/>
    <w:rsid w:val="006B38A8"/>
    <w:rsid w:val="006B5878"/>
    <w:rsid w:val="006B6493"/>
    <w:rsid w:val="006B6FC9"/>
    <w:rsid w:val="006C3D30"/>
    <w:rsid w:val="006C4298"/>
    <w:rsid w:val="006C4771"/>
    <w:rsid w:val="006C4F0F"/>
    <w:rsid w:val="006C71E8"/>
    <w:rsid w:val="006C7903"/>
    <w:rsid w:val="006D1FA8"/>
    <w:rsid w:val="006D5EE8"/>
    <w:rsid w:val="006D6A5E"/>
    <w:rsid w:val="006E01FB"/>
    <w:rsid w:val="006E169C"/>
    <w:rsid w:val="006E281A"/>
    <w:rsid w:val="006E6892"/>
    <w:rsid w:val="006F0091"/>
    <w:rsid w:val="006F109C"/>
    <w:rsid w:val="006F3F14"/>
    <w:rsid w:val="006F480A"/>
    <w:rsid w:val="006F7081"/>
    <w:rsid w:val="007009B7"/>
    <w:rsid w:val="007012F8"/>
    <w:rsid w:val="00701B80"/>
    <w:rsid w:val="00703831"/>
    <w:rsid w:val="00703C4E"/>
    <w:rsid w:val="0070508F"/>
    <w:rsid w:val="00705511"/>
    <w:rsid w:val="007062F3"/>
    <w:rsid w:val="00707759"/>
    <w:rsid w:val="007106ED"/>
    <w:rsid w:val="00710BA4"/>
    <w:rsid w:val="007129CF"/>
    <w:rsid w:val="0071303C"/>
    <w:rsid w:val="00713C82"/>
    <w:rsid w:val="00714E27"/>
    <w:rsid w:val="00716532"/>
    <w:rsid w:val="00716B0F"/>
    <w:rsid w:val="007173FC"/>
    <w:rsid w:val="007253BD"/>
    <w:rsid w:val="0073000B"/>
    <w:rsid w:val="0073096E"/>
    <w:rsid w:val="00731463"/>
    <w:rsid w:val="0073220E"/>
    <w:rsid w:val="00735125"/>
    <w:rsid w:val="00735B74"/>
    <w:rsid w:val="00737437"/>
    <w:rsid w:val="00742F8E"/>
    <w:rsid w:val="007431D1"/>
    <w:rsid w:val="00743649"/>
    <w:rsid w:val="00744E0D"/>
    <w:rsid w:val="007464F9"/>
    <w:rsid w:val="00746548"/>
    <w:rsid w:val="00747423"/>
    <w:rsid w:val="00751AD6"/>
    <w:rsid w:val="00751E45"/>
    <w:rsid w:val="00752929"/>
    <w:rsid w:val="007536E8"/>
    <w:rsid w:val="007544F7"/>
    <w:rsid w:val="00754889"/>
    <w:rsid w:val="00754D3A"/>
    <w:rsid w:val="0075524A"/>
    <w:rsid w:val="00755274"/>
    <w:rsid w:val="007554D3"/>
    <w:rsid w:val="00756A55"/>
    <w:rsid w:val="00757788"/>
    <w:rsid w:val="00760A95"/>
    <w:rsid w:val="0076250B"/>
    <w:rsid w:val="0076415C"/>
    <w:rsid w:val="00764545"/>
    <w:rsid w:val="00764F96"/>
    <w:rsid w:val="00765A07"/>
    <w:rsid w:val="007668F7"/>
    <w:rsid w:val="00767420"/>
    <w:rsid w:val="00770F44"/>
    <w:rsid w:val="00776F60"/>
    <w:rsid w:val="007774C7"/>
    <w:rsid w:val="00780006"/>
    <w:rsid w:val="007800F6"/>
    <w:rsid w:val="00780A1C"/>
    <w:rsid w:val="00780AB9"/>
    <w:rsid w:val="00780D54"/>
    <w:rsid w:val="00780DC9"/>
    <w:rsid w:val="007837DA"/>
    <w:rsid w:val="00783886"/>
    <w:rsid w:val="0078425C"/>
    <w:rsid w:val="00785C65"/>
    <w:rsid w:val="00785DE5"/>
    <w:rsid w:val="00785DE7"/>
    <w:rsid w:val="00786083"/>
    <w:rsid w:val="00790511"/>
    <w:rsid w:val="00791A8B"/>
    <w:rsid w:val="00792737"/>
    <w:rsid w:val="00795AEC"/>
    <w:rsid w:val="007971D8"/>
    <w:rsid w:val="007A3266"/>
    <w:rsid w:val="007B00C0"/>
    <w:rsid w:val="007B1C73"/>
    <w:rsid w:val="007B1F7D"/>
    <w:rsid w:val="007B242B"/>
    <w:rsid w:val="007B2A56"/>
    <w:rsid w:val="007B3F1B"/>
    <w:rsid w:val="007B4A34"/>
    <w:rsid w:val="007B60DE"/>
    <w:rsid w:val="007B6ED8"/>
    <w:rsid w:val="007B704B"/>
    <w:rsid w:val="007C03AB"/>
    <w:rsid w:val="007C2429"/>
    <w:rsid w:val="007C3364"/>
    <w:rsid w:val="007C491A"/>
    <w:rsid w:val="007C7862"/>
    <w:rsid w:val="007C799B"/>
    <w:rsid w:val="007D07A0"/>
    <w:rsid w:val="007D1C7E"/>
    <w:rsid w:val="007D2146"/>
    <w:rsid w:val="007D4014"/>
    <w:rsid w:val="007D4AEE"/>
    <w:rsid w:val="007D7766"/>
    <w:rsid w:val="007D7977"/>
    <w:rsid w:val="007D7B11"/>
    <w:rsid w:val="007E1127"/>
    <w:rsid w:val="007E4C0B"/>
    <w:rsid w:val="007E571A"/>
    <w:rsid w:val="007E5E28"/>
    <w:rsid w:val="007E6E34"/>
    <w:rsid w:val="007E7031"/>
    <w:rsid w:val="007F052A"/>
    <w:rsid w:val="007F0A4B"/>
    <w:rsid w:val="007F1546"/>
    <w:rsid w:val="007F511D"/>
    <w:rsid w:val="007F57CC"/>
    <w:rsid w:val="007F5D9A"/>
    <w:rsid w:val="007F61B6"/>
    <w:rsid w:val="00801A93"/>
    <w:rsid w:val="00803497"/>
    <w:rsid w:val="00803548"/>
    <w:rsid w:val="00803711"/>
    <w:rsid w:val="00803ED7"/>
    <w:rsid w:val="00804515"/>
    <w:rsid w:val="008067AD"/>
    <w:rsid w:val="00807181"/>
    <w:rsid w:val="0080777B"/>
    <w:rsid w:val="00807A7A"/>
    <w:rsid w:val="0081162D"/>
    <w:rsid w:val="008132E4"/>
    <w:rsid w:val="00815655"/>
    <w:rsid w:val="00817708"/>
    <w:rsid w:val="0082031C"/>
    <w:rsid w:val="00821B3D"/>
    <w:rsid w:val="008239E9"/>
    <w:rsid w:val="00824ED7"/>
    <w:rsid w:val="00826BC6"/>
    <w:rsid w:val="00826F95"/>
    <w:rsid w:val="00831BB3"/>
    <w:rsid w:val="00832CAD"/>
    <w:rsid w:val="00833A6C"/>
    <w:rsid w:val="00835B48"/>
    <w:rsid w:val="00837705"/>
    <w:rsid w:val="0084013F"/>
    <w:rsid w:val="008456A9"/>
    <w:rsid w:val="00845B70"/>
    <w:rsid w:val="008468D6"/>
    <w:rsid w:val="00846CE4"/>
    <w:rsid w:val="00846DF9"/>
    <w:rsid w:val="00847096"/>
    <w:rsid w:val="00847DA1"/>
    <w:rsid w:val="00851181"/>
    <w:rsid w:val="0085158A"/>
    <w:rsid w:val="00856FC6"/>
    <w:rsid w:val="008572D0"/>
    <w:rsid w:val="008602FF"/>
    <w:rsid w:val="00861114"/>
    <w:rsid w:val="008623BD"/>
    <w:rsid w:val="00862B7C"/>
    <w:rsid w:val="00863EDC"/>
    <w:rsid w:val="008640C1"/>
    <w:rsid w:val="00867526"/>
    <w:rsid w:val="00867793"/>
    <w:rsid w:val="008679C2"/>
    <w:rsid w:val="008733A2"/>
    <w:rsid w:val="00873A62"/>
    <w:rsid w:val="00873FCF"/>
    <w:rsid w:val="0087423C"/>
    <w:rsid w:val="008747F0"/>
    <w:rsid w:val="008762B4"/>
    <w:rsid w:val="00876EC2"/>
    <w:rsid w:val="00877A01"/>
    <w:rsid w:val="00877F5B"/>
    <w:rsid w:val="00880143"/>
    <w:rsid w:val="008818A2"/>
    <w:rsid w:val="00883023"/>
    <w:rsid w:val="00884593"/>
    <w:rsid w:val="00885B4D"/>
    <w:rsid w:val="00885F93"/>
    <w:rsid w:val="00887048"/>
    <w:rsid w:val="008913DB"/>
    <w:rsid w:val="00891636"/>
    <w:rsid w:val="00893793"/>
    <w:rsid w:val="0089542E"/>
    <w:rsid w:val="00897222"/>
    <w:rsid w:val="00897847"/>
    <w:rsid w:val="008A152F"/>
    <w:rsid w:val="008A2D1E"/>
    <w:rsid w:val="008A342D"/>
    <w:rsid w:val="008A429D"/>
    <w:rsid w:val="008A56FC"/>
    <w:rsid w:val="008A5855"/>
    <w:rsid w:val="008B1671"/>
    <w:rsid w:val="008B2397"/>
    <w:rsid w:val="008B4095"/>
    <w:rsid w:val="008B4F14"/>
    <w:rsid w:val="008B6F2B"/>
    <w:rsid w:val="008B7A39"/>
    <w:rsid w:val="008B7FA6"/>
    <w:rsid w:val="008C2662"/>
    <w:rsid w:val="008C358B"/>
    <w:rsid w:val="008C5892"/>
    <w:rsid w:val="008C6755"/>
    <w:rsid w:val="008C697D"/>
    <w:rsid w:val="008C6B84"/>
    <w:rsid w:val="008C6CFD"/>
    <w:rsid w:val="008D00B2"/>
    <w:rsid w:val="008D01CC"/>
    <w:rsid w:val="008D09AA"/>
    <w:rsid w:val="008D1457"/>
    <w:rsid w:val="008D2D05"/>
    <w:rsid w:val="008D2DDD"/>
    <w:rsid w:val="008D40A8"/>
    <w:rsid w:val="008D4AD3"/>
    <w:rsid w:val="008D7A55"/>
    <w:rsid w:val="008E14D5"/>
    <w:rsid w:val="008E1617"/>
    <w:rsid w:val="008E4583"/>
    <w:rsid w:val="008E686D"/>
    <w:rsid w:val="008F3A04"/>
    <w:rsid w:val="008F435F"/>
    <w:rsid w:val="008F4AC9"/>
    <w:rsid w:val="00900509"/>
    <w:rsid w:val="00900C46"/>
    <w:rsid w:val="00901AB4"/>
    <w:rsid w:val="00902F6A"/>
    <w:rsid w:val="009046B7"/>
    <w:rsid w:val="00904765"/>
    <w:rsid w:val="009066E9"/>
    <w:rsid w:val="00910E92"/>
    <w:rsid w:val="00912710"/>
    <w:rsid w:val="0091473B"/>
    <w:rsid w:val="00916AB5"/>
    <w:rsid w:val="00916FF5"/>
    <w:rsid w:val="0091768D"/>
    <w:rsid w:val="00920A9F"/>
    <w:rsid w:val="00920BF6"/>
    <w:rsid w:val="00921250"/>
    <w:rsid w:val="00922BB7"/>
    <w:rsid w:val="00924BA0"/>
    <w:rsid w:val="00925680"/>
    <w:rsid w:val="00925BC4"/>
    <w:rsid w:val="009261EA"/>
    <w:rsid w:val="00926FC9"/>
    <w:rsid w:val="009340C1"/>
    <w:rsid w:val="00934A9F"/>
    <w:rsid w:val="00936DED"/>
    <w:rsid w:val="00937D56"/>
    <w:rsid w:val="0094030D"/>
    <w:rsid w:val="00940955"/>
    <w:rsid w:val="00940F65"/>
    <w:rsid w:val="00941BD2"/>
    <w:rsid w:val="00942BDF"/>
    <w:rsid w:val="00944D03"/>
    <w:rsid w:val="009462A1"/>
    <w:rsid w:val="0095038E"/>
    <w:rsid w:val="00951C2F"/>
    <w:rsid w:val="00952964"/>
    <w:rsid w:val="00953080"/>
    <w:rsid w:val="00954CE2"/>
    <w:rsid w:val="00954E43"/>
    <w:rsid w:val="009558B0"/>
    <w:rsid w:val="00955DD4"/>
    <w:rsid w:val="0095677A"/>
    <w:rsid w:val="00956FC6"/>
    <w:rsid w:val="00957394"/>
    <w:rsid w:val="00960A5A"/>
    <w:rsid w:val="00961ADE"/>
    <w:rsid w:val="00964054"/>
    <w:rsid w:val="00965A70"/>
    <w:rsid w:val="00965C84"/>
    <w:rsid w:val="009765B2"/>
    <w:rsid w:val="00981AD8"/>
    <w:rsid w:val="00981DBD"/>
    <w:rsid w:val="00982295"/>
    <w:rsid w:val="00983032"/>
    <w:rsid w:val="009867F1"/>
    <w:rsid w:val="00987A86"/>
    <w:rsid w:val="009906BE"/>
    <w:rsid w:val="00991FFE"/>
    <w:rsid w:val="00992CD3"/>
    <w:rsid w:val="009931F7"/>
    <w:rsid w:val="0099453B"/>
    <w:rsid w:val="00996890"/>
    <w:rsid w:val="009970D2"/>
    <w:rsid w:val="009A2E87"/>
    <w:rsid w:val="009A555F"/>
    <w:rsid w:val="009A6B2E"/>
    <w:rsid w:val="009B09DB"/>
    <w:rsid w:val="009B0C71"/>
    <w:rsid w:val="009B0DC8"/>
    <w:rsid w:val="009B1E24"/>
    <w:rsid w:val="009B21F6"/>
    <w:rsid w:val="009B2E65"/>
    <w:rsid w:val="009B514E"/>
    <w:rsid w:val="009B5289"/>
    <w:rsid w:val="009B714A"/>
    <w:rsid w:val="009B7DC8"/>
    <w:rsid w:val="009C23B5"/>
    <w:rsid w:val="009C3356"/>
    <w:rsid w:val="009C6B7A"/>
    <w:rsid w:val="009C7806"/>
    <w:rsid w:val="009D1E55"/>
    <w:rsid w:val="009D27CE"/>
    <w:rsid w:val="009D43A2"/>
    <w:rsid w:val="009D4967"/>
    <w:rsid w:val="009D4BF8"/>
    <w:rsid w:val="009D5BFA"/>
    <w:rsid w:val="009D61D0"/>
    <w:rsid w:val="009D71B1"/>
    <w:rsid w:val="009E193B"/>
    <w:rsid w:val="009E27B4"/>
    <w:rsid w:val="009E2EC1"/>
    <w:rsid w:val="009E6BEE"/>
    <w:rsid w:val="009F031C"/>
    <w:rsid w:val="009F261D"/>
    <w:rsid w:val="009F564D"/>
    <w:rsid w:val="009F59C8"/>
    <w:rsid w:val="009F612D"/>
    <w:rsid w:val="00A010CB"/>
    <w:rsid w:val="00A0234B"/>
    <w:rsid w:val="00A031FA"/>
    <w:rsid w:val="00A03A60"/>
    <w:rsid w:val="00A03C9F"/>
    <w:rsid w:val="00A040C7"/>
    <w:rsid w:val="00A048B8"/>
    <w:rsid w:val="00A04EF3"/>
    <w:rsid w:val="00A0606F"/>
    <w:rsid w:val="00A060A8"/>
    <w:rsid w:val="00A06716"/>
    <w:rsid w:val="00A10B4A"/>
    <w:rsid w:val="00A13220"/>
    <w:rsid w:val="00A1340C"/>
    <w:rsid w:val="00A14108"/>
    <w:rsid w:val="00A15190"/>
    <w:rsid w:val="00A15C31"/>
    <w:rsid w:val="00A16B83"/>
    <w:rsid w:val="00A1707D"/>
    <w:rsid w:val="00A22D04"/>
    <w:rsid w:val="00A26400"/>
    <w:rsid w:val="00A3019C"/>
    <w:rsid w:val="00A30C92"/>
    <w:rsid w:val="00A32397"/>
    <w:rsid w:val="00A32D8D"/>
    <w:rsid w:val="00A34197"/>
    <w:rsid w:val="00A35F5E"/>
    <w:rsid w:val="00A3621F"/>
    <w:rsid w:val="00A3652B"/>
    <w:rsid w:val="00A37D3B"/>
    <w:rsid w:val="00A40595"/>
    <w:rsid w:val="00A40FCA"/>
    <w:rsid w:val="00A42D2B"/>
    <w:rsid w:val="00A438AA"/>
    <w:rsid w:val="00A44BBB"/>
    <w:rsid w:val="00A45407"/>
    <w:rsid w:val="00A4592F"/>
    <w:rsid w:val="00A47380"/>
    <w:rsid w:val="00A50F2C"/>
    <w:rsid w:val="00A51051"/>
    <w:rsid w:val="00A51119"/>
    <w:rsid w:val="00A5229B"/>
    <w:rsid w:val="00A529FE"/>
    <w:rsid w:val="00A574CB"/>
    <w:rsid w:val="00A57969"/>
    <w:rsid w:val="00A60968"/>
    <w:rsid w:val="00A60C2D"/>
    <w:rsid w:val="00A61402"/>
    <w:rsid w:val="00A638D9"/>
    <w:rsid w:val="00A63A79"/>
    <w:rsid w:val="00A652CC"/>
    <w:rsid w:val="00A65A3E"/>
    <w:rsid w:val="00A661B5"/>
    <w:rsid w:val="00A66B8D"/>
    <w:rsid w:val="00A66FE4"/>
    <w:rsid w:val="00A67462"/>
    <w:rsid w:val="00A705E7"/>
    <w:rsid w:val="00A70662"/>
    <w:rsid w:val="00A70750"/>
    <w:rsid w:val="00A71169"/>
    <w:rsid w:val="00A71B06"/>
    <w:rsid w:val="00A736F9"/>
    <w:rsid w:val="00A74DA4"/>
    <w:rsid w:val="00A82AF6"/>
    <w:rsid w:val="00A83148"/>
    <w:rsid w:val="00A833D4"/>
    <w:rsid w:val="00A83C30"/>
    <w:rsid w:val="00A865EB"/>
    <w:rsid w:val="00A93F96"/>
    <w:rsid w:val="00A94432"/>
    <w:rsid w:val="00A94D44"/>
    <w:rsid w:val="00A95061"/>
    <w:rsid w:val="00A955FC"/>
    <w:rsid w:val="00A95951"/>
    <w:rsid w:val="00A970F7"/>
    <w:rsid w:val="00A97C19"/>
    <w:rsid w:val="00AA0B1A"/>
    <w:rsid w:val="00AA1367"/>
    <w:rsid w:val="00AA1596"/>
    <w:rsid w:val="00AA2C1B"/>
    <w:rsid w:val="00AA31A3"/>
    <w:rsid w:val="00AA3A22"/>
    <w:rsid w:val="00AA4168"/>
    <w:rsid w:val="00AA4BFC"/>
    <w:rsid w:val="00AA530F"/>
    <w:rsid w:val="00AA669F"/>
    <w:rsid w:val="00AA67D4"/>
    <w:rsid w:val="00AA698B"/>
    <w:rsid w:val="00AA69AF"/>
    <w:rsid w:val="00AB2ADE"/>
    <w:rsid w:val="00AB2EA4"/>
    <w:rsid w:val="00AB55E9"/>
    <w:rsid w:val="00AB67E2"/>
    <w:rsid w:val="00AB6C2C"/>
    <w:rsid w:val="00AC32B7"/>
    <w:rsid w:val="00AC3D52"/>
    <w:rsid w:val="00AC4761"/>
    <w:rsid w:val="00AC649E"/>
    <w:rsid w:val="00AD0082"/>
    <w:rsid w:val="00AD0FAD"/>
    <w:rsid w:val="00AD109C"/>
    <w:rsid w:val="00AD2B0C"/>
    <w:rsid w:val="00AD315D"/>
    <w:rsid w:val="00AD435E"/>
    <w:rsid w:val="00AD5329"/>
    <w:rsid w:val="00AD5C79"/>
    <w:rsid w:val="00AD5F4A"/>
    <w:rsid w:val="00AD7DD3"/>
    <w:rsid w:val="00AE0A7D"/>
    <w:rsid w:val="00AE1B1B"/>
    <w:rsid w:val="00AE4640"/>
    <w:rsid w:val="00AE5925"/>
    <w:rsid w:val="00AE5C9A"/>
    <w:rsid w:val="00AE7957"/>
    <w:rsid w:val="00AF0158"/>
    <w:rsid w:val="00AF0513"/>
    <w:rsid w:val="00AF06FC"/>
    <w:rsid w:val="00AF1ADE"/>
    <w:rsid w:val="00AF1C60"/>
    <w:rsid w:val="00AF1DAC"/>
    <w:rsid w:val="00AF47D7"/>
    <w:rsid w:val="00AF6041"/>
    <w:rsid w:val="00AF72BB"/>
    <w:rsid w:val="00AF7550"/>
    <w:rsid w:val="00B01DB6"/>
    <w:rsid w:val="00B01F62"/>
    <w:rsid w:val="00B02585"/>
    <w:rsid w:val="00B025CF"/>
    <w:rsid w:val="00B05196"/>
    <w:rsid w:val="00B0638F"/>
    <w:rsid w:val="00B076AD"/>
    <w:rsid w:val="00B1006E"/>
    <w:rsid w:val="00B104BB"/>
    <w:rsid w:val="00B10B5D"/>
    <w:rsid w:val="00B111C6"/>
    <w:rsid w:val="00B11500"/>
    <w:rsid w:val="00B12F9D"/>
    <w:rsid w:val="00B13EC6"/>
    <w:rsid w:val="00B14981"/>
    <w:rsid w:val="00B14CAE"/>
    <w:rsid w:val="00B160E7"/>
    <w:rsid w:val="00B227DD"/>
    <w:rsid w:val="00B23ECD"/>
    <w:rsid w:val="00B2549B"/>
    <w:rsid w:val="00B2693A"/>
    <w:rsid w:val="00B26D2B"/>
    <w:rsid w:val="00B27159"/>
    <w:rsid w:val="00B358A4"/>
    <w:rsid w:val="00B359DC"/>
    <w:rsid w:val="00B365E5"/>
    <w:rsid w:val="00B370D1"/>
    <w:rsid w:val="00B371CC"/>
    <w:rsid w:val="00B37252"/>
    <w:rsid w:val="00B37A4E"/>
    <w:rsid w:val="00B37E7E"/>
    <w:rsid w:val="00B4009A"/>
    <w:rsid w:val="00B41F2B"/>
    <w:rsid w:val="00B44271"/>
    <w:rsid w:val="00B44767"/>
    <w:rsid w:val="00B45A96"/>
    <w:rsid w:val="00B45B72"/>
    <w:rsid w:val="00B45CBA"/>
    <w:rsid w:val="00B46504"/>
    <w:rsid w:val="00B46D84"/>
    <w:rsid w:val="00B479EB"/>
    <w:rsid w:val="00B50719"/>
    <w:rsid w:val="00B52A80"/>
    <w:rsid w:val="00B52BF6"/>
    <w:rsid w:val="00B537CE"/>
    <w:rsid w:val="00B53DC5"/>
    <w:rsid w:val="00B54B0A"/>
    <w:rsid w:val="00B54BC6"/>
    <w:rsid w:val="00B56224"/>
    <w:rsid w:val="00B61526"/>
    <w:rsid w:val="00B63B27"/>
    <w:rsid w:val="00B643B3"/>
    <w:rsid w:val="00B6509D"/>
    <w:rsid w:val="00B654E9"/>
    <w:rsid w:val="00B657A3"/>
    <w:rsid w:val="00B65F0A"/>
    <w:rsid w:val="00B66C85"/>
    <w:rsid w:val="00B67245"/>
    <w:rsid w:val="00B67D92"/>
    <w:rsid w:val="00B71F62"/>
    <w:rsid w:val="00B72E68"/>
    <w:rsid w:val="00B74C6F"/>
    <w:rsid w:val="00B74E7D"/>
    <w:rsid w:val="00B76355"/>
    <w:rsid w:val="00B8251D"/>
    <w:rsid w:val="00B82ABF"/>
    <w:rsid w:val="00B859F5"/>
    <w:rsid w:val="00B85A19"/>
    <w:rsid w:val="00B868B1"/>
    <w:rsid w:val="00B86C4C"/>
    <w:rsid w:val="00B86D7B"/>
    <w:rsid w:val="00B87EC7"/>
    <w:rsid w:val="00B90B47"/>
    <w:rsid w:val="00B91B40"/>
    <w:rsid w:val="00B929CC"/>
    <w:rsid w:val="00B92A81"/>
    <w:rsid w:val="00B94FB3"/>
    <w:rsid w:val="00B9532C"/>
    <w:rsid w:val="00B95429"/>
    <w:rsid w:val="00B97122"/>
    <w:rsid w:val="00B97BB4"/>
    <w:rsid w:val="00BA0AA1"/>
    <w:rsid w:val="00BA1E37"/>
    <w:rsid w:val="00BA3ADA"/>
    <w:rsid w:val="00BA4C4A"/>
    <w:rsid w:val="00BA504D"/>
    <w:rsid w:val="00BA6D6E"/>
    <w:rsid w:val="00BA6FDF"/>
    <w:rsid w:val="00BB01C5"/>
    <w:rsid w:val="00BB04F6"/>
    <w:rsid w:val="00BB2EF1"/>
    <w:rsid w:val="00BB4688"/>
    <w:rsid w:val="00BB51C5"/>
    <w:rsid w:val="00BB541C"/>
    <w:rsid w:val="00BB6DDD"/>
    <w:rsid w:val="00BB73BC"/>
    <w:rsid w:val="00BB7FC7"/>
    <w:rsid w:val="00BC0BBE"/>
    <w:rsid w:val="00BC0C7D"/>
    <w:rsid w:val="00BC10D0"/>
    <w:rsid w:val="00BC2B8F"/>
    <w:rsid w:val="00BC4368"/>
    <w:rsid w:val="00BC58FF"/>
    <w:rsid w:val="00BC7C68"/>
    <w:rsid w:val="00BD01F8"/>
    <w:rsid w:val="00BD12EB"/>
    <w:rsid w:val="00BD5FB8"/>
    <w:rsid w:val="00BD745E"/>
    <w:rsid w:val="00BD75EB"/>
    <w:rsid w:val="00BD7944"/>
    <w:rsid w:val="00BE0C69"/>
    <w:rsid w:val="00BE1013"/>
    <w:rsid w:val="00BE1ED9"/>
    <w:rsid w:val="00BE3722"/>
    <w:rsid w:val="00BE4035"/>
    <w:rsid w:val="00BE4C50"/>
    <w:rsid w:val="00BE5908"/>
    <w:rsid w:val="00BE6243"/>
    <w:rsid w:val="00BF0B06"/>
    <w:rsid w:val="00BF27E8"/>
    <w:rsid w:val="00BF29CB"/>
    <w:rsid w:val="00BF2FEB"/>
    <w:rsid w:val="00BF32C1"/>
    <w:rsid w:val="00BF5E8E"/>
    <w:rsid w:val="00BF6BE7"/>
    <w:rsid w:val="00BF7F73"/>
    <w:rsid w:val="00C01DA1"/>
    <w:rsid w:val="00C020C8"/>
    <w:rsid w:val="00C029C7"/>
    <w:rsid w:val="00C0360F"/>
    <w:rsid w:val="00C0390D"/>
    <w:rsid w:val="00C048A6"/>
    <w:rsid w:val="00C05579"/>
    <w:rsid w:val="00C05BA7"/>
    <w:rsid w:val="00C05C0E"/>
    <w:rsid w:val="00C0638D"/>
    <w:rsid w:val="00C072C7"/>
    <w:rsid w:val="00C073FF"/>
    <w:rsid w:val="00C07D1D"/>
    <w:rsid w:val="00C12D84"/>
    <w:rsid w:val="00C14F8D"/>
    <w:rsid w:val="00C15281"/>
    <w:rsid w:val="00C15FAE"/>
    <w:rsid w:val="00C20377"/>
    <w:rsid w:val="00C21229"/>
    <w:rsid w:val="00C242C3"/>
    <w:rsid w:val="00C24A8B"/>
    <w:rsid w:val="00C2545D"/>
    <w:rsid w:val="00C25FDE"/>
    <w:rsid w:val="00C30383"/>
    <w:rsid w:val="00C30D8F"/>
    <w:rsid w:val="00C30F56"/>
    <w:rsid w:val="00C31691"/>
    <w:rsid w:val="00C3174B"/>
    <w:rsid w:val="00C339B5"/>
    <w:rsid w:val="00C3416A"/>
    <w:rsid w:val="00C36778"/>
    <w:rsid w:val="00C36A7D"/>
    <w:rsid w:val="00C36CE7"/>
    <w:rsid w:val="00C405E9"/>
    <w:rsid w:val="00C41579"/>
    <w:rsid w:val="00C41A0C"/>
    <w:rsid w:val="00C426F8"/>
    <w:rsid w:val="00C42D53"/>
    <w:rsid w:val="00C4386F"/>
    <w:rsid w:val="00C43DBB"/>
    <w:rsid w:val="00C4413A"/>
    <w:rsid w:val="00C47074"/>
    <w:rsid w:val="00C4761A"/>
    <w:rsid w:val="00C477A4"/>
    <w:rsid w:val="00C509BD"/>
    <w:rsid w:val="00C52AA8"/>
    <w:rsid w:val="00C536CC"/>
    <w:rsid w:val="00C54E58"/>
    <w:rsid w:val="00C54E9A"/>
    <w:rsid w:val="00C550A1"/>
    <w:rsid w:val="00C55EA5"/>
    <w:rsid w:val="00C5608D"/>
    <w:rsid w:val="00C57359"/>
    <w:rsid w:val="00C57993"/>
    <w:rsid w:val="00C60BFD"/>
    <w:rsid w:val="00C61541"/>
    <w:rsid w:val="00C63777"/>
    <w:rsid w:val="00C64601"/>
    <w:rsid w:val="00C65A9A"/>
    <w:rsid w:val="00C671B8"/>
    <w:rsid w:val="00C67278"/>
    <w:rsid w:val="00C700F3"/>
    <w:rsid w:val="00C72049"/>
    <w:rsid w:val="00C738A3"/>
    <w:rsid w:val="00C7468E"/>
    <w:rsid w:val="00C76C27"/>
    <w:rsid w:val="00C76C30"/>
    <w:rsid w:val="00C80E49"/>
    <w:rsid w:val="00C81E0A"/>
    <w:rsid w:val="00C83593"/>
    <w:rsid w:val="00C84A19"/>
    <w:rsid w:val="00C84A21"/>
    <w:rsid w:val="00C85775"/>
    <w:rsid w:val="00C91614"/>
    <w:rsid w:val="00C92C4F"/>
    <w:rsid w:val="00C92DA4"/>
    <w:rsid w:val="00C96709"/>
    <w:rsid w:val="00C9798E"/>
    <w:rsid w:val="00CA036B"/>
    <w:rsid w:val="00CA2437"/>
    <w:rsid w:val="00CA27DA"/>
    <w:rsid w:val="00CA2B83"/>
    <w:rsid w:val="00CA5A16"/>
    <w:rsid w:val="00CB31DA"/>
    <w:rsid w:val="00CB672C"/>
    <w:rsid w:val="00CB72D8"/>
    <w:rsid w:val="00CC05AB"/>
    <w:rsid w:val="00CC09F6"/>
    <w:rsid w:val="00CC25ED"/>
    <w:rsid w:val="00CC5051"/>
    <w:rsid w:val="00CC62E1"/>
    <w:rsid w:val="00CC6419"/>
    <w:rsid w:val="00CD0A18"/>
    <w:rsid w:val="00CD0D7A"/>
    <w:rsid w:val="00CD0EC6"/>
    <w:rsid w:val="00CD3615"/>
    <w:rsid w:val="00CD3E27"/>
    <w:rsid w:val="00CD45DC"/>
    <w:rsid w:val="00CD50BD"/>
    <w:rsid w:val="00CD6241"/>
    <w:rsid w:val="00CD6B4C"/>
    <w:rsid w:val="00CD6C00"/>
    <w:rsid w:val="00CE08D5"/>
    <w:rsid w:val="00CE0F1B"/>
    <w:rsid w:val="00CE178B"/>
    <w:rsid w:val="00CE1B23"/>
    <w:rsid w:val="00CE5660"/>
    <w:rsid w:val="00CE5C13"/>
    <w:rsid w:val="00CF08A5"/>
    <w:rsid w:val="00CF2721"/>
    <w:rsid w:val="00CF37CC"/>
    <w:rsid w:val="00CF4352"/>
    <w:rsid w:val="00CF4D4C"/>
    <w:rsid w:val="00CF6B87"/>
    <w:rsid w:val="00CF6DCC"/>
    <w:rsid w:val="00CF7638"/>
    <w:rsid w:val="00D046F3"/>
    <w:rsid w:val="00D04AB9"/>
    <w:rsid w:val="00D066BB"/>
    <w:rsid w:val="00D067CF"/>
    <w:rsid w:val="00D10E10"/>
    <w:rsid w:val="00D13213"/>
    <w:rsid w:val="00D13B6A"/>
    <w:rsid w:val="00D147F0"/>
    <w:rsid w:val="00D15A31"/>
    <w:rsid w:val="00D16B4D"/>
    <w:rsid w:val="00D16B5B"/>
    <w:rsid w:val="00D170FC"/>
    <w:rsid w:val="00D17ED2"/>
    <w:rsid w:val="00D209EE"/>
    <w:rsid w:val="00D216B2"/>
    <w:rsid w:val="00D2207A"/>
    <w:rsid w:val="00D22B99"/>
    <w:rsid w:val="00D22CBC"/>
    <w:rsid w:val="00D23F97"/>
    <w:rsid w:val="00D24F21"/>
    <w:rsid w:val="00D25303"/>
    <w:rsid w:val="00D32533"/>
    <w:rsid w:val="00D34DAE"/>
    <w:rsid w:val="00D35861"/>
    <w:rsid w:val="00D358FB"/>
    <w:rsid w:val="00D3646A"/>
    <w:rsid w:val="00D41CDB"/>
    <w:rsid w:val="00D43663"/>
    <w:rsid w:val="00D450CC"/>
    <w:rsid w:val="00D5033D"/>
    <w:rsid w:val="00D504A9"/>
    <w:rsid w:val="00D508CA"/>
    <w:rsid w:val="00D50BFB"/>
    <w:rsid w:val="00D5620E"/>
    <w:rsid w:val="00D5698A"/>
    <w:rsid w:val="00D603F0"/>
    <w:rsid w:val="00D6340E"/>
    <w:rsid w:val="00D63C60"/>
    <w:rsid w:val="00D6424B"/>
    <w:rsid w:val="00D67A58"/>
    <w:rsid w:val="00D71519"/>
    <w:rsid w:val="00D71B95"/>
    <w:rsid w:val="00D72B6C"/>
    <w:rsid w:val="00D741B6"/>
    <w:rsid w:val="00D743DF"/>
    <w:rsid w:val="00D7463B"/>
    <w:rsid w:val="00D76327"/>
    <w:rsid w:val="00D8011E"/>
    <w:rsid w:val="00D8293A"/>
    <w:rsid w:val="00D83BFA"/>
    <w:rsid w:val="00D843DA"/>
    <w:rsid w:val="00D8507C"/>
    <w:rsid w:val="00D85BBF"/>
    <w:rsid w:val="00D86652"/>
    <w:rsid w:val="00D9114E"/>
    <w:rsid w:val="00D92266"/>
    <w:rsid w:val="00D93734"/>
    <w:rsid w:val="00D940CC"/>
    <w:rsid w:val="00D941EB"/>
    <w:rsid w:val="00D94F6B"/>
    <w:rsid w:val="00D952D5"/>
    <w:rsid w:val="00D95C78"/>
    <w:rsid w:val="00D96326"/>
    <w:rsid w:val="00DA007B"/>
    <w:rsid w:val="00DA103D"/>
    <w:rsid w:val="00DA20E9"/>
    <w:rsid w:val="00DA3E54"/>
    <w:rsid w:val="00DA57BC"/>
    <w:rsid w:val="00DB0D37"/>
    <w:rsid w:val="00DB0D62"/>
    <w:rsid w:val="00DB2EF6"/>
    <w:rsid w:val="00DB345A"/>
    <w:rsid w:val="00DB67A6"/>
    <w:rsid w:val="00DB791A"/>
    <w:rsid w:val="00DC0B21"/>
    <w:rsid w:val="00DC1FF9"/>
    <w:rsid w:val="00DC216B"/>
    <w:rsid w:val="00DC25B9"/>
    <w:rsid w:val="00DC2F00"/>
    <w:rsid w:val="00DC4837"/>
    <w:rsid w:val="00DC6463"/>
    <w:rsid w:val="00DC6713"/>
    <w:rsid w:val="00DC687F"/>
    <w:rsid w:val="00DD00FF"/>
    <w:rsid w:val="00DD0CEB"/>
    <w:rsid w:val="00DD1464"/>
    <w:rsid w:val="00DD1974"/>
    <w:rsid w:val="00DD3F2A"/>
    <w:rsid w:val="00DE04AF"/>
    <w:rsid w:val="00DE1012"/>
    <w:rsid w:val="00DE1853"/>
    <w:rsid w:val="00DE3996"/>
    <w:rsid w:val="00DE48D9"/>
    <w:rsid w:val="00DE7D1A"/>
    <w:rsid w:val="00DF1D6F"/>
    <w:rsid w:val="00DF25B4"/>
    <w:rsid w:val="00DF41CE"/>
    <w:rsid w:val="00DF46B8"/>
    <w:rsid w:val="00DF51DB"/>
    <w:rsid w:val="00DF6AF4"/>
    <w:rsid w:val="00E0015A"/>
    <w:rsid w:val="00E03A70"/>
    <w:rsid w:val="00E04B31"/>
    <w:rsid w:val="00E04CB3"/>
    <w:rsid w:val="00E055D5"/>
    <w:rsid w:val="00E07002"/>
    <w:rsid w:val="00E10E37"/>
    <w:rsid w:val="00E11EFB"/>
    <w:rsid w:val="00E15503"/>
    <w:rsid w:val="00E1750D"/>
    <w:rsid w:val="00E176D8"/>
    <w:rsid w:val="00E222CE"/>
    <w:rsid w:val="00E22837"/>
    <w:rsid w:val="00E22D2B"/>
    <w:rsid w:val="00E23FBA"/>
    <w:rsid w:val="00E24E0A"/>
    <w:rsid w:val="00E2561D"/>
    <w:rsid w:val="00E33926"/>
    <w:rsid w:val="00E344A0"/>
    <w:rsid w:val="00E344D5"/>
    <w:rsid w:val="00E344E4"/>
    <w:rsid w:val="00E3506B"/>
    <w:rsid w:val="00E372C1"/>
    <w:rsid w:val="00E37BE2"/>
    <w:rsid w:val="00E40CAA"/>
    <w:rsid w:val="00E4131D"/>
    <w:rsid w:val="00E423A2"/>
    <w:rsid w:val="00E42637"/>
    <w:rsid w:val="00E42AB0"/>
    <w:rsid w:val="00E4327E"/>
    <w:rsid w:val="00E45B81"/>
    <w:rsid w:val="00E45D7E"/>
    <w:rsid w:val="00E463C2"/>
    <w:rsid w:val="00E46BAA"/>
    <w:rsid w:val="00E46CC7"/>
    <w:rsid w:val="00E47A96"/>
    <w:rsid w:val="00E51DE9"/>
    <w:rsid w:val="00E52B80"/>
    <w:rsid w:val="00E53BC2"/>
    <w:rsid w:val="00E54D5A"/>
    <w:rsid w:val="00E60F36"/>
    <w:rsid w:val="00E617C7"/>
    <w:rsid w:val="00E61B60"/>
    <w:rsid w:val="00E62262"/>
    <w:rsid w:val="00E64846"/>
    <w:rsid w:val="00E66016"/>
    <w:rsid w:val="00E66874"/>
    <w:rsid w:val="00E71CCF"/>
    <w:rsid w:val="00E7229B"/>
    <w:rsid w:val="00E72531"/>
    <w:rsid w:val="00E74413"/>
    <w:rsid w:val="00E74DE7"/>
    <w:rsid w:val="00E75D97"/>
    <w:rsid w:val="00E80A5A"/>
    <w:rsid w:val="00E818EA"/>
    <w:rsid w:val="00E81AB7"/>
    <w:rsid w:val="00E86202"/>
    <w:rsid w:val="00E90E9D"/>
    <w:rsid w:val="00E918F1"/>
    <w:rsid w:val="00E91F6C"/>
    <w:rsid w:val="00E92197"/>
    <w:rsid w:val="00E92998"/>
    <w:rsid w:val="00E93D6B"/>
    <w:rsid w:val="00E94BB3"/>
    <w:rsid w:val="00E95339"/>
    <w:rsid w:val="00EA0EB3"/>
    <w:rsid w:val="00EA5AF5"/>
    <w:rsid w:val="00EA6BA8"/>
    <w:rsid w:val="00EB05E4"/>
    <w:rsid w:val="00EB0E84"/>
    <w:rsid w:val="00EB23CD"/>
    <w:rsid w:val="00EB3111"/>
    <w:rsid w:val="00EB3CDB"/>
    <w:rsid w:val="00EB4B3B"/>
    <w:rsid w:val="00EB5109"/>
    <w:rsid w:val="00EC075B"/>
    <w:rsid w:val="00EC142B"/>
    <w:rsid w:val="00EC1809"/>
    <w:rsid w:val="00EC1FA2"/>
    <w:rsid w:val="00EC35EB"/>
    <w:rsid w:val="00EC374D"/>
    <w:rsid w:val="00EC5501"/>
    <w:rsid w:val="00EC59FD"/>
    <w:rsid w:val="00EC6941"/>
    <w:rsid w:val="00EC6E55"/>
    <w:rsid w:val="00ED08A3"/>
    <w:rsid w:val="00ED1B37"/>
    <w:rsid w:val="00ED3B93"/>
    <w:rsid w:val="00ED51E9"/>
    <w:rsid w:val="00EE3777"/>
    <w:rsid w:val="00EE404A"/>
    <w:rsid w:val="00EE6DF3"/>
    <w:rsid w:val="00EF10D2"/>
    <w:rsid w:val="00EF3039"/>
    <w:rsid w:val="00EF4E65"/>
    <w:rsid w:val="00EF5EA0"/>
    <w:rsid w:val="00EF5F5B"/>
    <w:rsid w:val="00EF70CD"/>
    <w:rsid w:val="00EF77C7"/>
    <w:rsid w:val="00EF780D"/>
    <w:rsid w:val="00EF7B23"/>
    <w:rsid w:val="00F011EE"/>
    <w:rsid w:val="00F0556B"/>
    <w:rsid w:val="00F057EB"/>
    <w:rsid w:val="00F05A95"/>
    <w:rsid w:val="00F07212"/>
    <w:rsid w:val="00F0728C"/>
    <w:rsid w:val="00F1292A"/>
    <w:rsid w:val="00F12A55"/>
    <w:rsid w:val="00F13689"/>
    <w:rsid w:val="00F17641"/>
    <w:rsid w:val="00F17786"/>
    <w:rsid w:val="00F20C55"/>
    <w:rsid w:val="00F20F18"/>
    <w:rsid w:val="00F21268"/>
    <w:rsid w:val="00F22DFB"/>
    <w:rsid w:val="00F244D3"/>
    <w:rsid w:val="00F25F51"/>
    <w:rsid w:val="00F30A54"/>
    <w:rsid w:val="00F31C91"/>
    <w:rsid w:val="00F32AC2"/>
    <w:rsid w:val="00F33A71"/>
    <w:rsid w:val="00F34EDE"/>
    <w:rsid w:val="00F36484"/>
    <w:rsid w:val="00F4093B"/>
    <w:rsid w:val="00F41606"/>
    <w:rsid w:val="00F425E8"/>
    <w:rsid w:val="00F44635"/>
    <w:rsid w:val="00F451F3"/>
    <w:rsid w:val="00F45BF7"/>
    <w:rsid w:val="00F464FC"/>
    <w:rsid w:val="00F46F53"/>
    <w:rsid w:val="00F5198F"/>
    <w:rsid w:val="00F51CBE"/>
    <w:rsid w:val="00F54951"/>
    <w:rsid w:val="00F57A52"/>
    <w:rsid w:val="00F611D1"/>
    <w:rsid w:val="00F629EC"/>
    <w:rsid w:val="00F637F2"/>
    <w:rsid w:val="00F653CB"/>
    <w:rsid w:val="00F65C83"/>
    <w:rsid w:val="00F67369"/>
    <w:rsid w:val="00F7154D"/>
    <w:rsid w:val="00F71C69"/>
    <w:rsid w:val="00F72338"/>
    <w:rsid w:val="00F72982"/>
    <w:rsid w:val="00F73511"/>
    <w:rsid w:val="00F743D3"/>
    <w:rsid w:val="00F8022A"/>
    <w:rsid w:val="00F82AF1"/>
    <w:rsid w:val="00F85B4A"/>
    <w:rsid w:val="00F87CBD"/>
    <w:rsid w:val="00F90637"/>
    <w:rsid w:val="00F9086B"/>
    <w:rsid w:val="00F94236"/>
    <w:rsid w:val="00F9584B"/>
    <w:rsid w:val="00F96C17"/>
    <w:rsid w:val="00F97063"/>
    <w:rsid w:val="00F971D0"/>
    <w:rsid w:val="00FA1147"/>
    <w:rsid w:val="00FA581E"/>
    <w:rsid w:val="00FA7AB4"/>
    <w:rsid w:val="00FB47B3"/>
    <w:rsid w:val="00FB48DA"/>
    <w:rsid w:val="00FB51C1"/>
    <w:rsid w:val="00FB6C01"/>
    <w:rsid w:val="00FC2A96"/>
    <w:rsid w:val="00FC2E48"/>
    <w:rsid w:val="00FC3371"/>
    <w:rsid w:val="00FC40E3"/>
    <w:rsid w:val="00FC4A09"/>
    <w:rsid w:val="00FC65C5"/>
    <w:rsid w:val="00FD0050"/>
    <w:rsid w:val="00FD1BD9"/>
    <w:rsid w:val="00FD3522"/>
    <w:rsid w:val="00FD3705"/>
    <w:rsid w:val="00FE17BC"/>
    <w:rsid w:val="00FE1A72"/>
    <w:rsid w:val="00FE56E1"/>
    <w:rsid w:val="00FE62C8"/>
    <w:rsid w:val="00FE78F6"/>
    <w:rsid w:val="00FF0727"/>
    <w:rsid w:val="00FF0DBF"/>
    <w:rsid w:val="00FF34C8"/>
    <w:rsid w:val="00FF54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F0F413"/>
  <w15:docId w15:val="{642BB853-5B05-44F8-8ED0-44C3F09C0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fr-FR" w:eastAsia="fr-FR" w:bidi="fr-FR"/>
    </w:rPr>
  </w:style>
  <w:style w:type="paragraph" w:styleId="Heading1">
    <w:name w:val="heading 1"/>
    <w:basedOn w:val="Normal"/>
    <w:next w:val="Normal"/>
    <w:link w:val="Heading1Char"/>
    <w:qFormat/>
    <w:rsid w:val="00B14CAE"/>
    <w:pPr>
      <w:keepNext/>
      <w:spacing w:before="240" w:after="60" w:line="240" w:lineRule="auto"/>
      <w:outlineLvl w:val="0"/>
    </w:pPr>
    <w:rPr>
      <w:rFonts w:ascii="Cambria" w:eastAsia="Times New Roman" w:hAnsi="Cambria"/>
      <w:b/>
      <w:bCs/>
      <w:kern w:val="32"/>
      <w:sz w:val="32"/>
      <w:szCs w:val="32"/>
      <w:lang w:val="en-GB" w:eastAsia="x-none" w:bidi="ar-SA"/>
    </w:rPr>
  </w:style>
  <w:style w:type="paragraph" w:styleId="Heading6">
    <w:name w:val="heading 6"/>
    <w:basedOn w:val="Normal"/>
    <w:next w:val="Normal"/>
    <w:link w:val="Heading6Char"/>
    <w:unhideWhenUsed/>
    <w:qFormat/>
    <w:rsid w:val="00B14CAE"/>
    <w:pPr>
      <w:keepNext/>
      <w:keepLines/>
      <w:pBdr>
        <w:top w:val="nil"/>
        <w:left w:val="nil"/>
        <w:bottom w:val="nil"/>
        <w:right w:val="nil"/>
        <w:between w:val="nil"/>
        <w:bar w:val="nil"/>
      </w:pBdr>
      <w:spacing w:before="40" w:after="0" w:line="240" w:lineRule="auto"/>
      <w:outlineLvl w:val="5"/>
    </w:pPr>
    <w:rPr>
      <w:rFonts w:asciiTheme="majorHAnsi" w:eastAsiaTheme="majorEastAsia" w:hAnsiTheme="majorHAnsi" w:cstheme="majorBidi"/>
      <w:color w:val="243F60" w:themeColor="accent1" w:themeShade="7F"/>
      <w:sz w:val="24"/>
      <w:szCs w:val="24"/>
      <w:bdr w:val="nil"/>
      <w:lang w:val="en-GB"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884593"/>
    <w:rPr>
      <w:rFonts w:ascii="Arial" w:hAnsi="Arial" w:cs="Arial"/>
      <w:bCs/>
      <w:sz w:val="22"/>
      <w:szCs w:val="22"/>
      <w:lang w:val="fr-FR" w:eastAsia="fr-FR" w:bidi="fr-FR"/>
    </w:rPr>
  </w:style>
  <w:style w:type="paragraph" w:styleId="BalloonText">
    <w:name w:val="Balloon Text"/>
    <w:basedOn w:val="Normal"/>
    <w:link w:val="BalloonTextChar"/>
    <w:uiPriority w:val="99"/>
    <w:semiHidden/>
    <w:unhideWhenUsed/>
    <w:rsid w:val="00884593"/>
    <w:pPr>
      <w:spacing w:after="0" w:line="240" w:lineRule="auto"/>
    </w:pPr>
    <w:rPr>
      <w:rFonts w:ascii="Tahoma" w:hAnsi="Tahoma"/>
      <w:sz w:val="16"/>
      <w:szCs w:val="16"/>
      <w:lang w:bidi="ar-SA"/>
    </w:rPr>
  </w:style>
  <w:style w:type="character" w:customStyle="1" w:styleId="BalloonTextChar">
    <w:name w:val="Balloon Text Char"/>
    <w:link w:val="BalloonText"/>
    <w:uiPriority w:val="99"/>
    <w:semiHidden/>
    <w:rsid w:val="00884593"/>
    <w:rPr>
      <w:rFonts w:ascii="Tahoma" w:hAnsi="Tahoma" w:cs="Tahoma"/>
      <w:sz w:val="16"/>
      <w:szCs w:val="16"/>
    </w:rPr>
  </w:style>
  <w:style w:type="paragraph" w:styleId="ListParagraph">
    <w:name w:val="List Paragraph"/>
    <w:aliases w:val="List Bulet,COMESA Text 2,Standard 12 pt,List Bullet Mary,References,Bullets,Numbered List Paragraph,ReferencesCxSpLast,List Paragraph (numbered (a)),List Paragraph nowy,Liste 1,En tête 1,AB List 1,Bullet Points,List Paragraph1,ProcessA,Ha"/>
    <w:basedOn w:val="Normal"/>
    <w:link w:val="ListParagraphChar"/>
    <w:uiPriority w:val="34"/>
    <w:qFormat/>
    <w:rsid w:val="00CC09F6"/>
    <w:pPr>
      <w:ind w:left="720"/>
      <w:contextualSpacing/>
    </w:pPr>
  </w:style>
  <w:style w:type="character" w:styleId="CommentReference">
    <w:name w:val="annotation reference"/>
    <w:uiPriority w:val="99"/>
    <w:semiHidden/>
    <w:unhideWhenUsed/>
    <w:rsid w:val="004851B9"/>
    <w:rPr>
      <w:sz w:val="16"/>
      <w:szCs w:val="16"/>
    </w:rPr>
  </w:style>
  <w:style w:type="paragraph" w:styleId="CommentText">
    <w:name w:val="annotation text"/>
    <w:basedOn w:val="Normal"/>
    <w:link w:val="CommentTextChar"/>
    <w:uiPriority w:val="99"/>
    <w:semiHidden/>
    <w:unhideWhenUsed/>
    <w:rsid w:val="004851B9"/>
    <w:pPr>
      <w:spacing w:line="240" w:lineRule="auto"/>
    </w:pPr>
    <w:rPr>
      <w:sz w:val="20"/>
      <w:szCs w:val="20"/>
      <w:lang w:bidi="ar-SA"/>
    </w:rPr>
  </w:style>
  <w:style w:type="character" w:customStyle="1" w:styleId="CommentTextChar">
    <w:name w:val="Comment Text Char"/>
    <w:link w:val="CommentText"/>
    <w:uiPriority w:val="99"/>
    <w:semiHidden/>
    <w:rsid w:val="004851B9"/>
    <w:rPr>
      <w:sz w:val="20"/>
      <w:szCs w:val="20"/>
    </w:rPr>
  </w:style>
  <w:style w:type="paragraph" w:styleId="CommentSubject">
    <w:name w:val="annotation subject"/>
    <w:basedOn w:val="CommentText"/>
    <w:next w:val="CommentText"/>
    <w:link w:val="CommentSubjectChar"/>
    <w:uiPriority w:val="99"/>
    <w:semiHidden/>
    <w:unhideWhenUsed/>
    <w:rsid w:val="004851B9"/>
    <w:rPr>
      <w:b/>
      <w:bCs/>
    </w:rPr>
  </w:style>
  <w:style w:type="character" w:customStyle="1" w:styleId="CommentSubjectChar">
    <w:name w:val="Comment Subject Char"/>
    <w:link w:val="CommentSubject"/>
    <w:uiPriority w:val="99"/>
    <w:semiHidden/>
    <w:rsid w:val="004851B9"/>
    <w:rPr>
      <w:b/>
      <w:bCs/>
      <w:sz w:val="20"/>
      <w:szCs w:val="20"/>
    </w:rPr>
  </w:style>
  <w:style w:type="paragraph" w:styleId="BodyText2">
    <w:name w:val="Body Text 2"/>
    <w:basedOn w:val="Normal"/>
    <w:link w:val="BodyText2Char"/>
    <w:rsid w:val="00C30F56"/>
    <w:pPr>
      <w:spacing w:after="0" w:line="240" w:lineRule="auto"/>
    </w:pPr>
    <w:rPr>
      <w:rFonts w:ascii="Arial" w:eastAsia="Times New Roman" w:hAnsi="Arial"/>
      <w:b/>
      <w:bCs/>
      <w:sz w:val="24"/>
      <w:szCs w:val="24"/>
      <w:lang w:bidi="ar-SA"/>
    </w:rPr>
  </w:style>
  <w:style w:type="character" w:customStyle="1" w:styleId="BodyText2Char">
    <w:name w:val="Body Text 2 Char"/>
    <w:link w:val="BodyText2"/>
    <w:rsid w:val="00C30F56"/>
    <w:rPr>
      <w:rFonts w:ascii="Arial" w:eastAsia="Times New Roman" w:hAnsi="Arial" w:cs="Arial"/>
      <w:b/>
      <w:bCs/>
      <w:sz w:val="24"/>
      <w:szCs w:val="24"/>
      <w:lang w:val="fr-FR"/>
    </w:rPr>
  </w:style>
  <w:style w:type="paragraph" w:styleId="Header">
    <w:name w:val="header"/>
    <w:basedOn w:val="Normal"/>
    <w:link w:val="HeaderChar"/>
    <w:uiPriority w:val="99"/>
    <w:unhideWhenUsed/>
    <w:rsid w:val="003A54A5"/>
    <w:pPr>
      <w:tabs>
        <w:tab w:val="center" w:pos="4680"/>
        <w:tab w:val="right" w:pos="9360"/>
      </w:tabs>
      <w:spacing w:after="0" w:line="240" w:lineRule="auto"/>
    </w:pPr>
    <w:rPr>
      <w:sz w:val="20"/>
      <w:szCs w:val="20"/>
      <w:lang w:bidi="ar-SA"/>
    </w:rPr>
  </w:style>
  <w:style w:type="character" w:customStyle="1" w:styleId="HeaderChar">
    <w:name w:val="Header Char"/>
    <w:link w:val="Header"/>
    <w:uiPriority w:val="99"/>
    <w:rsid w:val="003A54A5"/>
    <w:rPr>
      <w:lang w:val="fr-FR"/>
    </w:rPr>
  </w:style>
  <w:style w:type="paragraph" w:styleId="Footer">
    <w:name w:val="footer"/>
    <w:basedOn w:val="Normal"/>
    <w:link w:val="FooterChar"/>
    <w:uiPriority w:val="99"/>
    <w:unhideWhenUsed/>
    <w:rsid w:val="003A54A5"/>
    <w:pPr>
      <w:tabs>
        <w:tab w:val="center" w:pos="4680"/>
        <w:tab w:val="right" w:pos="9360"/>
      </w:tabs>
      <w:spacing w:after="0" w:line="240" w:lineRule="auto"/>
    </w:pPr>
    <w:rPr>
      <w:sz w:val="20"/>
      <w:szCs w:val="20"/>
      <w:lang w:bidi="ar-SA"/>
    </w:rPr>
  </w:style>
  <w:style w:type="character" w:customStyle="1" w:styleId="FooterChar">
    <w:name w:val="Footer Char"/>
    <w:link w:val="Footer"/>
    <w:uiPriority w:val="99"/>
    <w:rsid w:val="003A54A5"/>
    <w:rPr>
      <w:lang w:val="fr-FR"/>
    </w:rPr>
  </w:style>
  <w:style w:type="paragraph" w:styleId="Title">
    <w:name w:val="Title"/>
    <w:basedOn w:val="Normal"/>
    <w:link w:val="TitleChar"/>
    <w:qFormat/>
    <w:rsid w:val="00413567"/>
    <w:pPr>
      <w:spacing w:after="0" w:line="240" w:lineRule="auto"/>
      <w:jc w:val="center"/>
    </w:pPr>
    <w:rPr>
      <w:rFonts w:ascii="Arial" w:eastAsia="Times New Roman" w:hAnsi="Arial"/>
      <w:b/>
      <w:bCs/>
      <w:sz w:val="24"/>
      <w:szCs w:val="24"/>
      <w:lang w:bidi="ar-SA"/>
    </w:rPr>
  </w:style>
  <w:style w:type="character" w:customStyle="1" w:styleId="TitleChar">
    <w:name w:val="Title Char"/>
    <w:link w:val="Title"/>
    <w:rsid w:val="00413567"/>
    <w:rPr>
      <w:rFonts w:ascii="Arial" w:eastAsia="Times New Roman" w:hAnsi="Arial" w:cs="Arial"/>
      <w:b/>
      <w:bCs/>
      <w:sz w:val="24"/>
      <w:szCs w:val="24"/>
      <w:lang w:val="fr-FR"/>
    </w:rPr>
  </w:style>
  <w:style w:type="table" w:styleId="TableGrid">
    <w:name w:val="Table Grid"/>
    <w:basedOn w:val="TableNormal"/>
    <w:uiPriority w:val="59"/>
    <w:rsid w:val="004565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5404F"/>
    <w:rPr>
      <w:color w:val="0000FF" w:themeColor="hyperlink"/>
      <w:u w:val="single"/>
    </w:rPr>
  </w:style>
  <w:style w:type="paragraph" w:styleId="Subtitle">
    <w:name w:val="Subtitle"/>
    <w:basedOn w:val="Normal"/>
    <w:next w:val="Normal"/>
    <w:link w:val="SubtitleChar"/>
    <w:uiPriority w:val="11"/>
    <w:qFormat/>
    <w:rsid w:val="00B53DC5"/>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B53DC5"/>
    <w:rPr>
      <w:rFonts w:asciiTheme="minorHAnsi" w:eastAsiaTheme="minorEastAsia" w:hAnsiTheme="minorHAnsi" w:cstheme="minorBidi"/>
      <w:color w:val="5A5A5A" w:themeColor="text1" w:themeTint="A5"/>
      <w:spacing w:val="15"/>
      <w:sz w:val="22"/>
      <w:szCs w:val="22"/>
      <w:lang w:val="fr-FR" w:eastAsia="fr-FR" w:bidi="fr-FR"/>
    </w:rPr>
  </w:style>
  <w:style w:type="character" w:customStyle="1" w:styleId="Heading1Char">
    <w:name w:val="Heading 1 Char"/>
    <w:basedOn w:val="DefaultParagraphFont"/>
    <w:link w:val="Heading1"/>
    <w:rsid w:val="00B14CAE"/>
    <w:rPr>
      <w:rFonts w:ascii="Cambria" w:eastAsia="Times New Roman" w:hAnsi="Cambria"/>
      <w:b/>
      <w:bCs/>
      <w:kern w:val="32"/>
      <w:sz w:val="32"/>
      <w:szCs w:val="32"/>
      <w:lang w:val="en-GB" w:eastAsia="x-none"/>
    </w:rPr>
  </w:style>
  <w:style w:type="character" w:customStyle="1" w:styleId="Heading6Char">
    <w:name w:val="Heading 6 Char"/>
    <w:basedOn w:val="DefaultParagraphFont"/>
    <w:link w:val="Heading6"/>
    <w:rsid w:val="00B14CAE"/>
    <w:rPr>
      <w:rFonts w:asciiTheme="majorHAnsi" w:eastAsiaTheme="majorEastAsia" w:hAnsiTheme="majorHAnsi" w:cstheme="majorBidi"/>
      <w:color w:val="243F60" w:themeColor="accent1" w:themeShade="7F"/>
      <w:sz w:val="24"/>
      <w:szCs w:val="24"/>
      <w:bdr w:val="nil"/>
      <w:lang w:val="en-GB"/>
    </w:rPr>
  </w:style>
  <w:style w:type="character" w:customStyle="1" w:styleId="NoSpacingChar">
    <w:name w:val="No Spacing Char"/>
    <w:link w:val="NoSpacing"/>
    <w:uiPriority w:val="1"/>
    <w:rsid w:val="00B14CAE"/>
    <w:rPr>
      <w:rFonts w:ascii="Arial" w:hAnsi="Arial" w:cs="Arial"/>
      <w:bCs/>
      <w:sz w:val="22"/>
      <w:szCs w:val="22"/>
      <w:lang w:val="fr-FR" w:eastAsia="fr-FR" w:bidi="fr-FR"/>
    </w:rPr>
  </w:style>
  <w:style w:type="character" w:customStyle="1" w:styleId="ListParagraphChar">
    <w:name w:val="List Paragraph Char"/>
    <w:aliases w:val="List Bulet Char,COMESA Text 2 Char,Standard 12 pt Char,List Bullet Mary Char,References Char,Bullets Char,Numbered List Paragraph Char,ReferencesCxSpLast Char,List Paragraph (numbered (a)) Char,List Paragraph nowy Char,Liste 1 Char"/>
    <w:link w:val="ListParagraph"/>
    <w:uiPriority w:val="34"/>
    <w:locked/>
    <w:rsid w:val="00B14CAE"/>
    <w:rPr>
      <w:sz w:val="22"/>
      <w:szCs w:val="22"/>
      <w:lang w:val="fr-FR" w:eastAsia="fr-FR" w:bidi="fr-FR"/>
    </w:rPr>
  </w:style>
  <w:style w:type="paragraph" w:styleId="NormalWeb">
    <w:name w:val="Normal (Web)"/>
    <w:basedOn w:val="Normal"/>
    <w:uiPriority w:val="99"/>
    <w:semiHidden/>
    <w:unhideWhenUsed/>
    <w:rsid w:val="003317FC"/>
    <w:pPr>
      <w:spacing w:before="100" w:beforeAutospacing="1" w:after="100" w:afterAutospacing="1" w:line="240" w:lineRule="auto"/>
    </w:pPr>
    <w:rPr>
      <w:rFonts w:ascii="Times New Roman" w:eastAsia="Times New Roman" w:hAnsi="Times New Roman"/>
      <w:sz w:val="24"/>
      <w:szCs w:val="24"/>
      <w:lang w:val="en-US" w:eastAsia="en-US" w:bidi="ar-SA"/>
    </w:rPr>
  </w:style>
  <w:style w:type="paragraph" w:styleId="FootnoteText">
    <w:name w:val="footnote text"/>
    <w:basedOn w:val="Normal"/>
    <w:link w:val="FootnoteTextChar"/>
    <w:uiPriority w:val="99"/>
    <w:semiHidden/>
    <w:unhideWhenUsed/>
    <w:rsid w:val="00444D2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44D24"/>
    <w:rPr>
      <w:lang w:val="fr-FR" w:eastAsia="fr-FR" w:bidi="fr-FR"/>
    </w:rPr>
  </w:style>
  <w:style w:type="character" w:styleId="FootnoteReference">
    <w:name w:val="footnote reference"/>
    <w:basedOn w:val="DefaultParagraphFont"/>
    <w:uiPriority w:val="99"/>
    <w:semiHidden/>
    <w:unhideWhenUsed/>
    <w:rsid w:val="00444D24"/>
    <w:rPr>
      <w:vertAlign w:val="superscript"/>
    </w:rPr>
  </w:style>
  <w:style w:type="paragraph" w:styleId="Caption">
    <w:name w:val="caption"/>
    <w:basedOn w:val="Normal"/>
    <w:next w:val="Normal"/>
    <w:uiPriority w:val="35"/>
    <w:unhideWhenUsed/>
    <w:qFormat/>
    <w:rsid w:val="00817708"/>
    <w:pPr>
      <w:spacing w:line="240" w:lineRule="auto"/>
    </w:pPr>
    <w:rPr>
      <w:i/>
      <w:iCs/>
      <w:color w:val="1F497D" w:themeColor="text2"/>
      <w:sz w:val="18"/>
      <w:szCs w:val="18"/>
    </w:rPr>
  </w:style>
  <w:style w:type="paragraph" w:styleId="TOCHeading">
    <w:name w:val="TOC Heading"/>
    <w:basedOn w:val="Heading1"/>
    <w:next w:val="Normal"/>
    <w:uiPriority w:val="39"/>
    <w:unhideWhenUsed/>
    <w:qFormat/>
    <w:rsid w:val="00572F4C"/>
    <w:pPr>
      <w:keepLines/>
      <w:spacing w:after="0" w:line="259" w:lineRule="auto"/>
      <w:outlineLvl w:val="9"/>
    </w:pPr>
    <w:rPr>
      <w:rFonts w:asciiTheme="majorHAnsi" w:eastAsiaTheme="majorEastAsia" w:hAnsiTheme="majorHAnsi" w:cstheme="majorBidi"/>
      <w:b w:val="0"/>
      <w:bCs w:val="0"/>
      <w:color w:val="365F91" w:themeColor="accent1" w:themeShade="BF"/>
      <w:kern w:val="0"/>
      <w:lang w:val="en-US" w:eastAsia="en-US"/>
    </w:rPr>
  </w:style>
  <w:style w:type="paragraph" w:styleId="TOC1">
    <w:name w:val="toc 1"/>
    <w:basedOn w:val="Normal"/>
    <w:next w:val="Normal"/>
    <w:autoRedefine/>
    <w:uiPriority w:val="39"/>
    <w:unhideWhenUsed/>
    <w:rsid w:val="00572F4C"/>
    <w:pPr>
      <w:spacing w:after="100"/>
    </w:pPr>
  </w:style>
  <w:style w:type="paragraph" w:customStyle="1" w:styleId="Default">
    <w:name w:val="Default"/>
    <w:rsid w:val="00A22D04"/>
    <w:pPr>
      <w:autoSpaceDE w:val="0"/>
      <w:autoSpaceDN w:val="0"/>
      <w:adjustRightInd w:val="0"/>
    </w:pPr>
    <w:rPr>
      <w:rFonts w:ascii="Arial" w:hAnsi="Arial" w:cs="Arial"/>
      <w:color w:val="000000"/>
      <w:sz w:val="24"/>
      <w:szCs w:val="24"/>
    </w:rPr>
  </w:style>
  <w:style w:type="paragraph" w:customStyle="1" w:styleId="Pa21">
    <w:name w:val="Pa21"/>
    <w:basedOn w:val="Default"/>
    <w:next w:val="Default"/>
    <w:uiPriority w:val="99"/>
    <w:rsid w:val="00C30D8F"/>
    <w:pPr>
      <w:spacing w:line="211" w:lineRule="atLeast"/>
    </w:pPr>
    <w:rPr>
      <w:rFonts w:ascii="Adobe Garamond Pro" w:hAnsi="Adobe Garamond Pro" w:cs="Times New Roman"/>
      <w:color w:val="auto"/>
    </w:rPr>
  </w:style>
  <w:style w:type="paragraph" w:styleId="BodyText">
    <w:name w:val="Body Text"/>
    <w:basedOn w:val="Normal"/>
    <w:link w:val="BodyTextChar"/>
    <w:uiPriority w:val="99"/>
    <w:unhideWhenUsed/>
    <w:rsid w:val="004D500E"/>
    <w:pPr>
      <w:spacing w:after="120"/>
    </w:pPr>
  </w:style>
  <w:style w:type="character" w:customStyle="1" w:styleId="BodyTextChar">
    <w:name w:val="Body Text Char"/>
    <w:basedOn w:val="DefaultParagraphFont"/>
    <w:link w:val="BodyText"/>
    <w:uiPriority w:val="99"/>
    <w:rsid w:val="004D500E"/>
    <w:rPr>
      <w:sz w:val="22"/>
      <w:szCs w:val="22"/>
      <w:lang w:val="fr-FR" w:eastAsia="fr-FR" w:bidi="fr-FR"/>
    </w:rPr>
  </w:style>
  <w:style w:type="paragraph" w:customStyle="1" w:styleId="Pa17">
    <w:name w:val="Pa17"/>
    <w:basedOn w:val="Default"/>
    <w:next w:val="Default"/>
    <w:uiPriority w:val="99"/>
    <w:rsid w:val="007F5D9A"/>
    <w:pPr>
      <w:spacing w:line="191" w:lineRule="atLeast"/>
    </w:pPr>
    <w:rPr>
      <w:rFonts w:ascii="Avenir Next W1G" w:hAnsi="Avenir Next W1G" w:cs="Times New Roman"/>
      <w:color w:val="auto"/>
    </w:rPr>
  </w:style>
  <w:style w:type="paragraph" w:customStyle="1" w:styleId="Pa16">
    <w:name w:val="Pa16"/>
    <w:basedOn w:val="Default"/>
    <w:next w:val="Default"/>
    <w:uiPriority w:val="99"/>
    <w:rsid w:val="007F5D9A"/>
    <w:pPr>
      <w:spacing w:line="191" w:lineRule="atLeast"/>
    </w:pPr>
    <w:rPr>
      <w:rFonts w:ascii="Avenir Next W1G" w:hAnsi="Avenir Next W1G" w:cs="Times New Roman"/>
      <w:color w:val="auto"/>
    </w:rPr>
  </w:style>
  <w:style w:type="character" w:customStyle="1" w:styleId="A17">
    <w:name w:val="A17"/>
    <w:uiPriority w:val="99"/>
    <w:rsid w:val="007F5D9A"/>
    <w:rPr>
      <w:rFonts w:cs="Avenir Next W1G"/>
      <w:color w:val="000000"/>
      <w:sz w:val="11"/>
      <w:szCs w:val="11"/>
    </w:rPr>
  </w:style>
  <w:style w:type="character" w:customStyle="1" w:styleId="A13">
    <w:name w:val="A13"/>
    <w:uiPriority w:val="99"/>
    <w:rsid w:val="007F5D9A"/>
    <w:rPr>
      <w:rFonts w:ascii="Wingdings" w:hAnsi="Wingdings" w:cs="Wingdings"/>
      <w:color w:val="000000"/>
      <w:sz w:val="19"/>
      <w:szCs w:val="19"/>
    </w:rPr>
  </w:style>
  <w:style w:type="paragraph" w:styleId="Revision">
    <w:name w:val="Revision"/>
    <w:hidden/>
    <w:uiPriority w:val="99"/>
    <w:semiHidden/>
    <w:rsid w:val="008A5855"/>
    <w:rPr>
      <w:sz w:val="22"/>
      <w:szCs w:val="22"/>
      <w:lang w:val="fr-FR" w:eastAsia="fr-FR" w:bidi="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737116">
      <w:bodyDiv w:val="1"/>
      <w:marLeft w:val="0"/>
      <w:marRight w:val="0"/>
      <w:marTop w:val="0"/>
      <w:marBottom w:val="0"/>
      <w:divBdr>
        <w:top w:val="none" w:sz="0" w:space="0" w:color="auto"/>
        <w:left w:val="none" w:sz="0" w:space="0" w:color="auto"/>
        <w:bottom w:val="none" w:sz="0" w:space="0" w:color="auto"/>
        <w:right w:val="none" w:sz="0" w:space="0" w:color="auto"/>
      </w:divBdr>
    </w:div>
    <w:div w:id="183978705">
      <w:bodyDiv w:val="1"/>
      <w:marLeft w:val="0"/>
      <w:marRight w:val="0"/>
      <w:marTop w:val="0"/>
      <w:marBottom w:val="0"/>
      <w:divBdr>
        <w:top w:val="none" w:sz="0" w:space="0" w:color="auto"/>
        <w:left w:val="none" w:sz="0" w:space="0" w:color="auto"/>
        <w:bottom w:val="none" w:sz="0" w:space="0" w:color="auto"/>
        <w:right w:val="none" w:sz="0" w:space="0" w:color="auto"/>
      </w:divBdr>
    </w:div>
    <w:div w:id="282999809">
      <w:bodyDiv w:val="1"/>
      <w:marLeft w:val="0"/>
      <w:marRight w:val="0"/>
      <w:marTop w:val="0"/>
      <w:marBottom w:val="0"/>
      <w:divBdr>
        <w:top w:val="none" w:sz="0" w:space="0" w:color="auto"/>
        <w:left w:val="none" w:sz="0" w:space="0" w:color="auto"/>
        <w:bottom w:val="none" w:sz="0" w:space="0" w:color="auto"/>
        <w:right w:val="none" w:sz="0" w:space="0" w:color="auto"/>
      </w:divBdr>
    </w:div>
    <w:div w:id="360596847">
      <w:bodyDiv w:val="1"/>
      <w:marLeft w:val="0"/>
      <w:marRight w:val="0"/>
      <w:marTop w:val="0"/>
      <w:marBottom w:val="0"/>
      <w:divBdr>
        <w:top w:val="none" w:sz="0" w:space="0" w:color="auto"/>
        <w:left w:val="none" w:sz="0" w:space="0" w:color="auto"/>
        <w:bottom w:val="none" w:sz="0" w:space="0" w:color="auto"/>
        <w:right w:val="none" w:sz="0" w:space="0" w:color="auto"/>
      </w:divBdr>
    </w:div>
    <w:div w:id="484510935">
      <w:bodyDiv w:val="1"/>
      <w:marLeft w:val="0"/>
      <w:marRight w:val="0"/>
      <w:marTop w:val="0"/>
      <w:marBottom w:val="0"/>
      <w:divBdr>
        <w:top w:val="none" w:sz="0" w:space="0" w:color="auto"/>
        <w:left w:val="none" w:sz="0" w:space="0" w:color="auto"/>
        <w:bottom w:val="none" w:sz="0" w:space="0" w:color="auto"/>
        <w:right w:val="none" w:sz="0" w:space="0" w:color="auto"/>
      </w:divBdr>
    </w:div>
    <w:div w:id="582303697">
      <w:bodyDiv w:val="1"/>
      <w:marLeft w:val="0"/>
      <w:marRight w:val="0"/>
      <w:marTop w:val="0"/>
      <w:marBottom w:val="0"/>
      <w:divBdr>
        <w:top w:val="none" w:sz="0" w:space="0" w:color="auto"/>
        <w:left w:val="none" w:sz="0" w:space="0" w:color="auto"/>
        <w:bottom w:val="none" w:sz="0" w:space="0" w:color="auto"/>
        <w:right w:val="none" w:sz="0" w:space="0" w:color="auto"/>
      </w:divBdr>
    </w:div>
    <w:div w:id="638805698">
      <w:bodyDiv w:val="1"/>
      <w:marLeft w:val="0"/>
      <w:marRight w:val="0"/>
      <w:marTop w:val="0"/>
      <w:marBottom w:val="0"/>
      <w:divBdr>
        <w:top w:val="none" w:sz="0" w:space="0" w:color="auto"/>
        <w:left w:val="none" w:sz="0" w:space="0" w:color="auto"/>
        <w:bottom w:val="none" w:sz="0" w:space="0" w:color="auto"/>
        <w:right w:val="none" w:sz="0" w:space="0" w:color="auto"/>
      </w:divBdr>
    </w:div>
    <w:div w:id="673189087">
      <w:bodyDiv w:val="1"/>
      <w:marLeft w:val="0"/>
      <w:marRight w:val="0"/>
      <w:marTop w:val="0"/>
      <w:marBottom w:val="0"/>
      <w:divBdr>
        <w:top w:val="none" w:sz="0" w:space="0" w:color="auto"/>
        <w:left w:val="none" w:sz="0" w:space="0" w:color="auto"/>
        <w:bottom w:val="none" w:sz="0" w:space="0" w:color="auto"/>
        <w:right w:val="none" w:sz="0" w:space="0" w:color="auto"/>
      </w:divBdr>
    </w:div>
    <w:div w:id="914703348">
      <w:bodyDiv w:val="1"/>
      <w:marLeft w:val="0"/>
      <w:marRight w:val="0"/>
      <w:marTop w:val="0"/>
      <w:marBottom w:val="0"/>
      <w:divBdr>
        <w:top w:val="none" w:sz="0" w:space="0" w:color="auto"/>
        <w:left w:val="none" w:sz="0" w:space="0" w:color="auto"/>
        <w:bottom w:val="none" w:sz="0" w:space="0" w:color="auto"/>
        <w:right w:val="none" w:sz="0" w:space="0" w:color="auto"/>
      </w:divBdr>
    </w:div>
    <w:div w:id="1003970812">
      <w:bodyDiv w:val="1"/>
      <w:marLeft w:val="0"/>
      <w:marRight w:val="0"/>
      <w:marTop w:val="0"/>
      <w:marBottom w:val="0"/>
      <w:divBdr>
        <w:top w:val="none" w:sz="0" w:space="0" w:color="auto"/>
        <w:left w:val="none" w:sz="0" w:space="0" w:color="auto"/>
        <w:bottom w:val="none" w:sz="0" w:space="0" w:color="auto"/>
        <w:right w:val="none" w:sz="0" w:space="0" w:color="auto"/>
      </w:divBdr>
    </w:div>
    <w:div w:id="1060859022">
      <w:bodyDiv w:val="1"/>
      <w:marLeft w:val="0"/>
      <w:marRight w:val="0"/>
      <w:marTop w:val="0"/>
      <w:marBottom w:val="0"/>
      <w:divBdr>
        <w:top w:val="none" w:sz="0" w:space="0" w:color="auto"/>
        <w:left w:val="none" w:sz="0" w:space="0" w:color="auto"/>
        <w:bottom w:val="none" w:sz="0" w:space="0" w:color="auto"/>
        <w:right w:val="none" w:sz="0" w:space="0" w:color="auto"/>
      </w:divBdr>
    </w:div>
    <w:div w:id="1103454540">
      <w:bodyDiv w:val="1"/>
      <w:marLeft w:val="0"/>
      <w:marRight w:val="0"/>
      <w:marTop w:val="0"/>
      <w:marBottom w:val="0"/>
      <w:divBdr>
        <w:top w:val="none" w:sz="0" w:space="0" w:color="auto"/>
        <w:left w:val="none" w:sz="0" w:space="0" w:color="auto"/>
        <w:bottom w:val="none" w:sz="0" w:space="0" w:color="auto"/>
        <w:right w:val="none" w:sz="0" w:space="0" w:color="auto"/>
      </w:divBdr>
    </w:div>
    <w:div w:id="1109734953">
      <w:bodyDiv w:val="1"/>
      <w:marLeft w:val="0"/>
      <w:marRight w:val="0"/>
      <w:marTop w:val="0"/>
      <w:marBottom w:val="0"/>
      <w:divBdr>
        <w:top w:val="none" w:sz="0" w:space="0" w:color="auto"/>
        <w:left w:val="none" w:sz="0" w:space="0" w:color="auto"/>
        <w:bottom w:val="none" w:sz="0" w:space="0" w:color="auto"/>
        <w:right w:val="none" w:sz="0" w:space="0" w:color="auto"/>
      </w:divBdr>
    </w:div>
    <w:div w:id="1118060614">
      <w:bodyDiv w:val="1"/>
      <w:marLeft w:val="0"/>
      <w:marRight w:val="0"/>
      <w:marTop w:val="0"/>
      <w:marBottom w:val="0"/>
      <w:divBdr>
        <w:top w:val="none" w:sz="0" w:space="0" w:color="auto"/>
        <w:left w:val="none" w:sz="0" w:space="0" w:color="auto"/>
        <w:bottom w:val="none" w:sz="0" w:space="0" w:color="auto"/>
        <w:right w:val="none" w:sz="0" w:space="0" w:color="auto"/>
      </w:divBdr>
    </w:div>
    <w:div w:id="1130637105">
      <w:bodyDiv w:val="1"/>
      <w:marLeft w:val="0"/>
      <w:marRight w:val="0"/>
      <w:marTop w:val="0"/>
      <w:marBottom w:val="0"/>
      <w:divBdr>
        <w:top w:val="none" w:sz="0" w:space="0" w:color="auto"/>
        <w:left w:val="none" w:sz="0" w:space="0" w:color="auto"/>
        <w:bottom w:val="none" w:sz="0" w:space="0" w:color="auto"/>
        <w:right w:val="none" w:sz="0" w:space="0" w:color="auto"/>
      </w:divBdr>
    </w:div>
    <w:div w:id="1162740350">
      <w:bodyDiv w:val="1"/>
      <w:marLeft w:val="0"/>
      <w:marRight w:val="0"/>
      <w:marTop w:val="0"/>
      <w:marBottom w:val="0"/>
      <w:divBdr>
        <w:top w:val="none" w:sz="0" w:space="0" w:color="auto"/>
        <w:left w:val="none" w:sz="0" w:space="0" w:color="auto"/>
        <w:bottom w:val="none" w:sz="0" w:space="0" w:color="auto"/>
        <w:right w:val="none" w:sz="0" w:space="0" w:color="auto"/>
      </w:divBdr>
    </w:div>
    <w:div w:id="1238594336">
      <w:bodyDiv w:val="1"/>
      <w:marLeft w:val="0"/>
      <w:marRight w:val="0"/>
      <w:marTop w:val="0"/>
      <w:marBottom w:val="0"/>
      <w:divBdr>
        <w:top w:val="none" w:sz="0" w:space="0" w:color="auto"/>
        <w:left w:val="none" w:sz="0" w:space="0" w:color="auto"/>
        <w:bottom w:val="none" w:sz="0" w:space="0" w:color="auto"/>
        <w:right w:val="none" w:sz="0" w:space="0" w:color="auto"/>
      </w:divBdr>
    </w:div>
    <w:div w:id="1242712485">
      <w:bodyDiv w:val="1"/>
      <w:marLeft w:val="0"/>
      <w:marRight w:val="0"/>
      <w:marTop w:val="0"/>
      <w:marBottom w:val="0"/>
      <w:divBdr>
        <w:top w:val="none" w:sz="0" w:space="0" w:color="auto"/>
        <w:left w:val="none" w:sz="0" w:space="0" w:color="auto"/>
        <w:bottom w:val="none" w:sz="0" w:space="0" w:color="auto"/>
        <w:right w:val="none" w:sz="0" w:space="0" w:color="auto"/>
      </w:divBdr>
    </w:div>
    <w:div w:id="1265385504">
      <w:bodyDiv w:val="1"/>
      <w:marLeft w:val="0"/>
      <w:marRight w:val="0"/>
      <w:marTop w:val="0"/>
      <w:marBottom w:val="0"/>
      <w:divBdr>
        <w:top w:val="none" w:sz="0" w:space="0" w:color="auto"/>
        <w:left w:val="none" w:sz="0" w:space="0" w:color="auto"/>
        <w:bottom w:val="none" w:sz="0" w:space="0" w:color="auto"/>
        <w:right w:val="none" w:sz="0" w:space="0" w:color="auto"/>
      </w:divBdr>
    </w:div>
    <w:div w:id="1272936117">
      <w:bodyDiv w:val="1"/>
      <w:marLeft w:val="0"/>
      <w:marRight w:val="0"/>
      <w:marTop w:val="0"/>
      <w:marBottom w:val="0"/>
      <w:divBdr>
        <w:top w:val="none" w:sz="0" w:space="0" w:color="auto"/>
        <w:left w:val="none" w:sz="0" w:space="0" w:color="auto"/>
        <w:bottom w:val="none" w:sz="0" w:space="0" w:color="auto"/>
        <w:right w:val="none" w:sz="0" w:space="0" w:color="auto"/>
      </w:divBdr>
    </w:div>
    <w:div w:id="1304773982">
      <w:bodyDiv w:val="1"/>
      <w:marLeft w:val="0"/>
      <w:marRight w:val="0"/>
      <w:marTop w:val="0"/>
      <w:marBottom w:val="0"/>
      <w:divBdr>
        <w:top w:val="none" w:sz="0" w:space="0" w:color="auto"/>
        <w:left w:val="none" w:sz="0" w:space="0" w:color="auto"/>
        <w:bottom w:val="none" w:sz="0" w:space="0" w:color="auto"/>
        <w:right w:val="none" w:sz="0" w:space="0" w:color="auto"/>
      </w:divBdr>
    </w:div>
    <w:div w:id="1408914593">
      <w:bodyDiv w:val="1"/>
      <w:marLeft w:val="0"/>
      <w:marRight w:val="0"/>
      <w:marTop w:val="0"/>
      <w:marBottom w:val="0"/>
      <w:divBdr>
        <w:top w:val="none" w:sz="0" w:space="0" w:color="auto"/>
        <w:left w:val="none" w:sz="0" w:space="0" w:color="auto"/>
        <w:bottom w:val="none" w:sz="0" w:space="0" w:color="auto"/>
        <w:right w:val="none" w:sz="0" w:space="0" w:color="auto"/>
      </w:divBdr>
    </w:div>
    <w:div w:id="1448500960">
      <w:bodyDiv w:val="1"/>
      <w:marLeft w:val="0"/>
      <w:marRight w:val="0"/>
      <w:marTop w:val="0"/>
      <w:marBottom w:val="0"/>
      <w:divBdr>
        <w:top w:val="none" w:sz="0" w:space="0" w:color="auto"/>
        <w:left w:val="none" w:sz="0" w:space="0" w:color="auto"/>
        <w:bottom w:val="none" w:sz="0" w:space="0" w:color="auto"/>
        <w:right w:val="none" w:sz="0" w:space="0" w:color="auto"/>
      </w:divBdr>
    </w:div>
    <w:div w:id="1510438042">
      <w:bodyDiv w:val="1"/>
      <w:marLeft w:val="0"/>
      <w:marRight w:val="0"/>
      <w:marTop w:val="0"/>
      <w:marBottom w:val="0"/>
      <w:divBdr>
        <w:top w:val="none" w:sz="0" w:space="0" w:color="auto"/>
        <w:left w:val="none" w:sz="0" w:space="0" w:color="auto"/>
        <w:bottom w:val="none" w:sz="0" w:space="0" w:color="auto"/>
        <w:right w:val="none" w:sz="0" w:space="0" w:color="auto"/>
      </w:divBdr>
    </w:div>
    <w:div w:id="1540510904">
      <w:bodyDiv w:val="1"/>
      <w:marLeft w:val="0"/>
      <w:marRight w:val="0"/>
      <w:marTop w:val="0"/>
      <w:marBottom w:val="0"/>
      <w:divBdr>
        <w:top w:val="none" w:sz="0" w:space="0" w:color="auto"/>
        <w:left w:val="none" w:sz="0" w:space="0" w:color="auto"/>
        <w:bottom w:val="none" w:sz="0" w:space="0" w:color="auto"/>
        <w:right w:val="none" w:sz="0" w:space="0" w:color="auto"/>
      </w:divBdr>
    </w:div>
    <w:div w:id="1642345649">
      <w:bodyDiv w:val="1"/>
      <w:marLeft w:val="0"/>
      <w:marRight w:val="0"/>
      <w:marTop w:val="0"/>
      <w:marBottom w:val="0"/>
      <w:divBdr>
        <w:top w:val="none" w:sz="0" w:space="0" w:color="auto"/>
        <w:left w:val="none" w:sz="0" w:space="0" w:color="auto"/>
        <w:bottom w:val="none" w:sz="0" w:space="0" w:color="auto"/>
        <w:right w:val="none" w:sz="0" w:space="0" w:color="auto"/>
      </w:divBdr>
    </w:div>
    <w:div w:id="1660187839">
      <w:bodyDiv w:val="1"/>
      <w:marLeft w:val="0"/>
      <w:marRight w:val="0"/>
      <w:marTop w:val="0"/>
      <w:marBottom w:val="0"/>
      <w:divBdr>
        <w:top w:val="none" w:sz="0" w:space="0" w:color="auto"/>
        <w:left w:val="none" w:sz="0" w:space="0" w:color="auto"/>
        <w:bottom w:val="none" w:sz="0" w:space="0" w:color="auto"/>
        <w:right w:val="none" w:sz="0" w:space="0" w:color="auto"/>
      </w:divBdr>
    </w:div>
    <w:div w:id="1689523120">
      <w:bodyDiv w:val="1"/>
      <w:marLeft w:val="0"/>
      <w:marRight w:val="0"/>
      <w:marTop w:val="0"/>
      <w:marBottom w:val="0"/>
      <w:divBdr>
        <w:top w:val="none" w:sz="0" w:space="0" w:color="auto"/>
        <w:left w:val="none" w:sz="0" w:space="0" w:color="auto"/>
        <w:bottom w:val="none" w:sz="0" w:space="0" w:color="auto"/>
        <w:right w:val="none" w:sz="0" w:space="0" w:color="auto"/>
      </w:divBdr>
    </w:div>
    <w:div w:id="1797022055">
      <w:bodyDiv w:val="1"/>
      <w:marLeft w:val="0"/>
      <w:marRight w:val="0"/>
      <w:marTop w:val="0"/>
      <w:marBottom w:val="0"/>
      <w:divBdr>
        <w:top w:val="none" w:sz="0" w:space="0" w:color="auto"/>
        <w:left w:val="none" w:sz="0" w:space="0" w:color="auto"/>
        <w:bottom w:val="none" w:sz="0" w:space="0" w:color="auto"/>
        <w:right w:val="none" w:sz="0" w:space="0" w:color="auto"/>
      </w:divBdr>
    </w:div>
    <w:div w:id="1864199508">
      <w:bodyDiv w:val="1"/>
      <w:marLeft w:val="0"/>
      <w:marRight w:val="0"/>
      <w:marTop w:val="0"/>
      <w:marBottom w:val="0"/>
      <w:divBdr>
        <w:top w:val="none" w:sz="0" w:space="0" w:color="auto"/>
        <w:left w:val="none" w:sz="0" w:space="0" w:color="auto"/>
        <w:bottom w:val="none" w:sz="0" w:space="0" w:color="auto"/>
        <w:right w:val="none" w:sz="0" w:space="0" w:color="auto"/>
      </w:divBdr>
    </w:div>
    <w:div w:id="1976131441">
      <w:bodyDiv w:val="1"/>
      <w:marLeft w:val="0"/>
      <w:marRight w:val="0"/>
      <w:marTop w:val="0"/>
      <w:marBottom w:val="0"/>
      <w:divBdr>
        <w:top w:val="none" w:sz="0" w:space="0" w:color="auto"/>
        <w:left w:val="none" w:sz="0" w:space="0" w:color="auto"/>
        <w:bottom w:val="none" w:sz="0" w:space="0" w:color="auto"/>
        <w:right w:val="none" w:sz="0" w:space="0" w:color="auto"/>
      </w:divBdr>
    </w:div>
    <w:div w:id="1979072690">
      <w:bodyDiv w:val="1"/>
      <w:marLeft w:val="0"/>
      <w:marRight w:val="0"/>
      <w:marTop w:val="0"/>
      <w:marBottom w:val="0"/>
      <w:divBdr>
        <w:top w:val="none" w:sz="0" w:space="0" w:color="auto"/>
        <w:left w:val="none" w:sz="0" w:space="0" w:color="auto"/>
        <w:bottom w:val="none" w:sz="0" w:space="0" w:color="auto"/>
        <w:right w:val="none" w:sz="0" w:space="0" w:color="auto"/>
      </w:divBdr>
    </w:div>
    <w:div w:id="1984044345">
      <w:bodyDiv w:val="1"/>
      <w:marLeft w:val="0"/>
      <w:marRight w:val="0"/>
      <w:marTop w:val="0"/>
      <w:marBottom w:val="0"/>
      <w:divBdr>
        <w:top w:val="none" w:sz="0" w:space="0" w:color="auto"/>
        <w:left w:val="none" w:sz="0" w:space="0" w:color="auto"/>
        <w:bottom w:val="none" w:sz="0" w:space="0" w:color="auto"/>
        <w:right w:val="none" w:sz="0" w:space="0" w:color="auto"/>
      </w:divBdr>
      <w:divsChild>
        <w:div w:id="324213769">
          <w:marLeft w:val="0"/>
          <w:marRight w:val="0"/>
          <w:marTop w:val="0"/>
          <w:marBottom w:val="0"/>
          <w:divBdr>
            <w:top w:val="none" w:sz="0" w:space="0" w:color="auto"/>
            <w:left w:val="none" w:sz="0" w:space="0" w:color="auto"/>
            <w:bottom w:val="none" w:sz="0" w:space="0" w:color="auto"/>
            <w:right w:val="none" w:sz="0" w:space="0" w:color="auto"/>
          </w:divBdr>
        </w:div>
        <w:div w:id="569971426">
          <w:marLeft w:val="0"/>
          <w:marRight w:val="0"/>
          <w:marTop w:val="0"/>
          <w:marBottom w:val="0"/>
          <w:divBdr>
            <w:top w:val="none" w:sz="0" w:space="0" w:color="auto"/>
            <w:left w:val="none" w:sz="0" w:space="0" w:color="auto"/>
            <w:bottom w:val="none" w:sz="0" w:space="0" w:color="auto"/>
            <w:right w:val="none" w:sz="0" w:space="0" w:color="auto"/>
          </w:divBdr>
        </w:div>
        <w:div w:id="574507755">
          <w:marLeft w:val="0"/>
          <w:marRight w:val="0"/>
          <w:marTop w:val="0"/>
          <w:marBottom w:val="0"/>
          <w:divBdr>
            <w:top w:val="none" w:sz="0" w:space="0" w:color="auto"/>
            <w:left w:val="none" w:sz="0" w:space="0" w:color="auto"/>
            <w:bottom w:val="none" w:sz="0" w:space="0" w:color="auto"/>
            <w:right w:val="none" w:sz="0" w:space="0" w:color="auto"/>
          </w:divBdr>
        </w:div>
        <w:div w:id="579752883">
          <w:marLeft w:val="0"/>
          <w:marRight w:val="0"/>
          <w:marTop w:val="0"/>
          <w:marBottom w:val="0"/>
          <w:divBdr>
            <w:top w:val="none" w:sz="0" w:space="0" w:color="auto"/>
            <w:left w:val="none" w:sz="0" w:space="0" w:color="auto"/>
            <w:bottom w:val="none" w:sz="0" w:space="0" w:color="auto"/>
            <w:right w:val="none" w:sz="0" w:space="0" w:color="auto"/>
          </w:divBdr>
        </w:div>
        <w:div w:id="723604997">
          <w:marLeft w:val="0"/>
          <w:marRight w:val="0"/>
          <w:marTop w:val="0"/>
          <w:marBottom w:val="0"/>
          <w:divBdr>
            <w:top w:val="none" w:sz="0" w:space="0" w:color="auto"/>
            <w:left w:val="none" w:sz="0" w:space="0" w:color="auto"/>
            <w:bottom w:val="none" w:sz="0" w:space="0" w:color="auto"/>
            <w:right w:val="none" w:sz="0" w:space="0" w:color="auto"/>
          </w:divBdr>
        </w:div>
        <w:div w:id="904416603">
          <w:marLeft w:val="0"/>
          <w:marRight w:val="0"/>
          <w:marTop w:val="0"/>
          <w:marBottom w:val="0"/>
          <w:divBdr>
            <w:top w:val="none" w:sz="0" w:space="0" w:color="auto"/>
            <w:left w:val="none" w:sz="0" w:space="0" w:color="auto"/>
            <w:bottom w:val="none" w:sz="0" w:space="0" w:color="auto"/>
            <w:right w:val="none" w:sz="0" w:space="0" w:color="auto"/>
          </w:divBdr>
        </w:div>
        <w:div w:id="966005969">
          <w:marLeft w:val="0"/>
          <w:marRight w:val="0"/>
          <w:marTop w:val="0"/>
          <w:marBottom w:val="0"/>
          <w:divBdr>
            <w:top w:val="none" w:sz="0" w:space="0" w:color="auto"/>
            <w:left w:val="none" w:sz="0" w:space="0" w:color="auto"/>
            <w:bottom w:val="none" w:sz="0" w:space="0" w:color="auto"/>
            <w:right w:val="none" w:sz="0" w:space="0" w:color="auto"/>
          </w:divBdr>
        </w:div>
        <w:div w:id="1027145903">
          <w:marLeft w:val="0"/>
          <w:marRight w:val="0"/>
          <w:marTop w:val="0"/>
          <w:marBottom w:val="0"/>
          <w:divBdr>
            <w:top w:val="none" w:sz="0" w:space="0" w:color="auto"/>
            <w:left w:val="none" w:sz="0" w:space="0" w:color="auto"/>
            <w:bottom w:val="none" w:sz="0" w:space="0" w:color="auto"/>
            <w:right w:val="none" w:sz="0" w:space="0" w:color="auto"/>
          </w:divBdr>
        </w:div>
        <w:div w:id="1869171934">
          <w:marLeft w:val="0"/>
          <w:marRight w:val="0"/>
          <w:marTop w:val="0"/>
          <w:marBottom w:val="0"/>
          <w:divBdr>
            <w:top w:val="none" w:sz="0" w:space="0" w:color="auto"/>
            <w:left w:val="none" w:sz="0" w:space="0" w:color="auto"/>
            <w:bottom w:val="none" w:sz="0" w:space="0" w:color="auto"/>
            <w:right w:val="none" w:sz="0" w:space="0" w:color="auto"/>
          </w:divBdr>
        </w:div>
      </w:divsChild>
    </w:div>
    <w:div w:id="21039153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chart" Target="charts/chart6.xml"/><Relationship Id="rId2" Type="http://schemas.openxmlformats.org/officeDocument/2006/relationships/numbering" Target="numbering.xml"/><Relationship Id="rId16" Type="http://schemas.openxmlformats.org/officeDocument/2006/relationships/chart" Target="charts/chart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chart" Target="charts/chart4.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hart" Target="charts/chart3.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HP\Documents\COMESA\2023\2023\Annual%20report\workbook.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HP\Documents\COMESA\2023\2023\Annual%20report\workbook.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HP\Documents\COMESA\2023\2023\Annual%20report\workbook.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HP\Documents\COMESA\2023\2023\Annual%20report\workbook.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HP\Documents\COMESA\2023\2023\Annual%20report\workbook.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HP\Documents\COMESA\2023\2023\Annual%20report\workbook.xlsx" TargetMode="External"/><Relationship Id="rId2" Type="http://schemas.microsoft.com/office/2011/relationships/chartColorStyle" Target="colors6.xml"/><Relationship Id="rId1" Type="http://schemas.microsoft.com/office/2011/relationships/chartStyle" Target="style6.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5.7090332458442694E-2"/>
          <c:y val="5.5555555555555552E-2"/>
          <c:w val="0.9155301837270341"/>
          <c:h val="0.8416746864975212"/>
        </c:manualLayout>
      </c:layout>
      <c:bar3DChart>
        <c:barDir val="col"/>
        <c:grouping val="standard"/>
        <c:varyColors val="0"/>
        <c:ser>
          <c:idx val="0"/>
          <c:order val="0"/>
          <c:tx>
            <c:strRef>
              <c:f>Sheet1!$A$4</c:f>
              <c:strCache>
                <c:ptCount val="1"/>
                <c:pt idx="0">
                  <c:v>Burundi</c:v>
                </c:pt>
              </c:strCache>
            </c:strRef>
          </c:tx>
          <c:spPr>
            <a:solidFill>
              <a:schemeClr val="accent1"/>
            </a:solidFill>
            <a:ln>
              <a:noFill/>
            </a:ln>
            <a:effectLst/>
            <a:sp3d/>
          </c:spPr>
          <c:invertIfNegative val="0"/>
          <c:cat>
            <c:strRef>
              <c:f>Sheet1!$B$3:$G$3</c:f>
              <c:strCache>
                <c:ptCount val="6"/>
                <c:pt idx="0">
                  <c:v>2011-19</c:v>
                </c:pt>
                <c:pt idx="1">
                  <c:v>2020</c:v>
                </c:pt>
                <c:pt idx="2">
                  <c:v>2021</c:v>
                </c:pt>
                <c:pt idx="3">
                  <c:v>2022</c:v>
                </c:pt>
                <c:pt idx="4">
                  <c:v>2023p</c:v>
                </c:pt>
                <c:pt idx="5">
                  <c:v>2024p</c:v>
                </c:pt>
              </c:strCache>
            </c:strRef>
          </c:cat>
          <c:val>
            <c:numRef>
              <c:f>Sheet1!$B$4:$G$4</c:f>
            </c:numRef>
          </c:val>
          <c:extLst>
            <c:ext xmlns:c16="http://schemas.microsoft.com/office/drawing/2014/chart" uri="{C3380CC4-5D6E-409C-BE32-E72D297353CC}">
              <c16:uniqueId val="{00000000-E0AD-4D23-A56C-A185A2C562EB}"/>
            </c:ext>
          </c:extLst>
        </c:ser>
        <c:ser>
          <c:idx val="1"/>
          <c:order val="1"/>
          <c:tx>
            <c:strRef>
              <c:f>Sheet1!$A$5</c:f>
              <c:strCache>
                <c:ptCount val="1"/>
                <c:pt idx="0">
                  <c:v>Comoros</c:v>
                </c:pt>
              </c:strCache>
            </c:strRef>
          </c:tx>
          <c:spPr>
            <a:solidFill>
              <a:schemeClr val="accent2"/>
            </a:solidFill>
            <a:ln>
              <a:noFill/>
            </a:ln>
            <a:effectLst/>
            <a:sp3d/>
          </c:spPr>
          <c:invertIfNegative val="0"/>
          <c:cat>
            <c:strRef>
              <c:f>Sheet1!$B$3:$G$3</c:f>
              <c:strCache>
                <c:ptCount val="6"/>
                <c:pt idx="0">
                  <c:v>2011-19</c:v>
                </c:pt>
                <c:pt idx="1">
                  <c:v>2020</c:v>
                </c:pt>
                <c:pt idx="2">
                  <c:v>2021</c:v>
                </c:pt>
                <c:pt idx="3">
                  <c:v>2022</c:v>
                </c:pt>
                <c:pt idx="4">
                  <c:v>2023p</c:v>
                </c:pt>
                <c:pt idx="5">
                  <c:v>2024p</c:v>
                </c:pt>
              </c:strCache>
            </c:strRef>
          </c:cat>
          <c:val>
            <c:numRef>
              <c:f>Sheet1!$B$5:$G$5</c:f>
            </c:numRef>
          </c:val>
          <c:extLst>
            <c:ext xmlns:c16="http://schemas.microsoft.com/office/drawing/2014/chart" uri="{C3380CC4-5D6E-409C-BE32-E72D297353CC}">
              <c16:uniqueId val="{00000001-E0AD-4D23-A56C-A185A2C562EB}"/>
            </c:ext>
          </c:extLst>
        </c:ser>
        <c:ser>
          <c:idx val="2"/>
          <c:order val="2"/>
          <c:tx>
            <c:strRef>
              <c:f>Sheet1!$A$6</c:f>
              <c:strCache>
                <c:ptCount val="1"/>
                <c:pt idx="0">
                  <c:v>Congo, Dem. Rep.</c:v>
                </c:pt>
              </c:strCache>
            </c:strRef>
          </c:tx>
          <c:spPr>
            <a:solidFill>
              <a:schemeClr val="accent3"/>
            </a:solidFill>
            <a:ln>
              <a:noFill/>
            </a:ln>
            <a:effectLst/>
            <a:sp3d/>
          </c:spPr>
          <c:invertIfNegative val="0"/>
          <c:cat>
            <c:strRef>
              <c:f>Sheet1!$B$3:$G$3</c:f>
              <c:strCache>
                <c:ptCount val="6"/>
                <c:pt idx="0">
                  <c:v>2011-19</c:v>
                </c:pt>
                <c:pt idx="1">
                  <c:v>2020</c:v>
                </c:pt>
                <c:pt idx="2">
                  <c:v>2021</c:v>
                </c:pt>
                <c:pt idx="3">
                  <c:v>2022</c:v>
                </c:pt>
                <c:pt idx="4">
                  <c:v>2023p</c:v>
                </c:pt>
                <c:pt idx="5">
                  <c:v>2024p</c:v>
                </c:pt>
              </c:strCache>
            </c:strRef>
          </c:cat>
          <c:val>
            <c:numRef>
              <c:f>Sheet1!$B$6:$G$6</c:f>
            </c:numRef>
          </c:val>
          <c:extLst>
            <c:ext xmlns:c16="http://schemas.microsoft.com/office/drawing/2014/chart" uri="{C3380CC4-5D6E-409C-BE32-E72D297353CC}">
              <c16:uniqueId val="{00000002-E0AD-4D23-A56C-A185A2C562EB}"/>
            </c:ext>
          </c:extLst>
        </c:ser>
        <c:ser>
          <c:idx val="3"/>
          <c:order val="3"/>
          <c:tx>
            <c:strRef>
              <c:f>Sheet1!$A$7</c:f>
              <c:strCache>
                <c:ptCount val="1"/>
                <c:pt idx="0">
                  <c:v>Djibouti</c:v>
                </c:pt>
              </c:strCache>
            </c:strRef>
          </c:tx>
          <c:spPr>
            <a:solidFill>
              <a:schemeClr val="accent4"/>
            </a:solidFill>
            <a:ln>
              <a:noFill/>
            </a:ln>
            <a:effectLst/>
            <a:sp3d/>
          </c:spPr>
          <c:invertIfNegative val="0"/>
          <c:cat>
            <c:strRef>
              <c:f>Sheet1!$B$3:$G$3</c:f>
              <c:strCache>
                <c:ptCount val="6"/>
                <c:pt idx="0">
                  <c:v>2011-19</c:v>
                </c:pt>
                <c:pt idx="1">
                  <c:v>2020</c:v>
                </c:pt>
                <c:pt idx="2">
                  <c:v>2021</c:v>
                </c:pt>
                <c:pt idx="3">
                  <c:v>2022</c:v>
                </c:pt>
                <c:pt idx="4">
                  <c:v>2023p</c:v>
                </c:pt>
                <c:pt idx="5">
                  <c:v>2024p</c:v>
                </c:pt>
              </c:strCache>
            </c:strRef>
          </c:cat>
          <c:val>
            <c:numRef>
              <c:f>Sheet1!$B$7:$G$7</c:f>
            </c:numRef>
          </c:val>
          <c:extLst>
            <c:ext xmlns:c16="http://schemas.microsoft.com/office/drawing/2014/chart" uri="{C3380CC4-5D6E-409C-BE32-E72D297353CC}">
              <c16:uniqueId val="{00000003-E0AD-4D23-A56C-A185A2C562EB}"/>
            </c:ext>
          </c:extLst>
        </c:ser>
        <c:ser>
          <c:idx val="4"/>
          <c:order val="4"/>
          <c:tx>
            <c:strRef>
              <c:f>Sheet1!$A$8</c:f>
              <c:strCache>
                <c:ptCount val="1"/>
                <c:pt idx="0">
                  <c:v>Egypt, Arab Rep.</c:v>
                </c:pt>
              </c:strCache>
            </c:strRef>
          </c:tx>
          <c:spPr>
            <a:solidFill>
              <a:schemeClr val="accent5"/>
            </a:solidFill>
            <a:ln>
              <a:noFill/>
            </a:ln>
            <a:effectLst/>
            <a:sp3d/>
          </c:spPr>
          <c:invertIfNegative val="0"/>
          <c:cat>
            <c:strRef>
              <c:f>Sheet1!$B$3:$G$3</c:f>
              <c:strCache>
                <c:ptCount val="6"/>
                <c:pt idx="0">
                  <c:v>2011-19</c:v>
                </c:pt>
                <c:pt idx="1">
                  <c:v>2020</c:v>
                </c:pt>
                <c:pt idx="2">
                  <c:v>2021</c:v>
                </c:pt>
                <c:pt idx="3">
                  <c:v>2022</c:v>
                </c:pt>
                <c:pt idx="4">
                  <c:v>2023p</c:v>
                </c:pt>
                <c:pt idx="5">
                  <c:v>2024p</c:v>
                </c:pt>
              </c:strCache>
            </c:strRef>
          </c:cat>
          <c:val>
            <c:numRef>
              <c:f>Sheet1!$B$8:$G$8</c:f>
            </c:numRef>
          </c:val>
          <c:extLst>
            <c:ext xmlns:c16="http://schemas.microsoft.com/office/drawing/2014/chart" uri="{C3380CC4-5D6E-409C-BE32-E72D297353CC}">
              <c16:uniqueId val="{00000004-E0AD-4D23-A56C-A185A2C562EB}"/>
            </c:ext>
          </c:extLst>
        </c:ser>
        <c:ser>
          <c:idx val="5"/>
          <c:order val="5"/>
          <c:tx>
            <c:strRef>
              <c:f>Sheet1!$A$9</c:f>
              <c:strCache>
                <c:ptCount val="1"/>
                <c:pt idx="0">
                  <c:v>Eritrea</c:v>
                </c:pt>
              </c:strCache>
            </c:strRef>
          </c:tx>
          <c:spPr>
            <a:solidFill>
              <a:schemeClr val="accent6"/>
            </a:solidFill>
            <a:ln>
              <a:noFill/>
            </a:ln>
            <a:effectLst/>
            <a:sp3d/>
          </c:spPr>
          <c:invertIfNegative val="0"/>
          <c:cat>
            <c:strRef>
              <c:f>Sheet1!$B$3:$G$3</c:f>
              <c:strCache>
                <c:ptCount val="6"/>
                <c:pt idx="0">
                  <c:v>2011-19</c:v>
                </c:pt>
                <c:pt idx="1">
                  <c:v>2020</c:v>
                </c:pt>
                <c:pt idx="2">
                  <c:v>2021</c:v>
                </c:pt>
                <c:pt idx="3">
                  <c:v>2022</c:v>
                </c:pt>
                <c:pt idx="4">
                  <c:v>2023p</c:v>
                </c:pt>
                <c:pt idx="5">
                  <c:v>2024p</c:v>
                </c:pt>
              </c:strCache>
            </c:strRef>
          </c:cat>
          <c:val>
            <c:numRef>
              <c:f>Sheet1!$B$9:$G$9</c:f>
            </c:numRef>
          </c:val>
          <c:extLst>
            <c:ext xmlns:c16="http://schemas.microsoft.com/office/drawing/2014/chart" uri="{C3380CC4-5D6E-409C-BE32-E72D297353CC}">
              <c16:uniqueId val="{00000005-E0AD-4D23-A56C-A185A2C562EB}"/>
            </c:ext>
          </c:extLst>
        </c:ser>
        <c:ser>
          <c:idx val="6"/>
          <c:order val="6"/>
          <c:tx>
            <c:strRef>
              <c:f>Sheet1!$A$10</c:f>
              <c:strCache>
                <c:ptCount val="1"/>
                <c:pt idx="0">
                  <c:v>Ethiopia</c:v>
                </c:pt>
              </c:strCache>
            </c:strRef>
          </c:tx>
          <c:spPr>
            <a:solidFill>
              <a:schemeClr val="accent1">
                <a:lumMod val="60000"/>
              </a:schemeClr>
            </a:solidFill>
            <a:ln>
              <a:noFill/>
            </a:ln>
            <a:effectLst/>
            <a:sp3d/>
          </c:spPr>
          <c:invertIfNegative val="0"/>
          <c:cat>
            <c:strRef>
              <c:f>Sheet1!$B$3:$G$3</c:f>
              <c:strCache>
                <c:ptCount val="6"/>
                <c:pt idx="0">
                  <c:v>2011-19</c:v>
                </c:pt>
                <c:pt idx="1">
                  <c:v>2020</c:v>
                </c:pt>
                <c:pt idx="2">
                  <c:v>2021</c:v>
                </c:pt>
                <c:pt idx="3">
                  <c:v>2022</c:v>
                </c:pt>
                <c:pt idx="4">
                  <c:v>2023p</c:v>
                </c:pt>
                <c:pt idx="5">
                  <c:v>2024p</c:v>
                </c:pt>
              </c:strCache>
            </c:strRef>
          </c:cat>
          <c:val>
            <c:numRef>
              <c:f>Sheet1!$B$10:$G$10</c:f>
            </c:numRef>
          </c:val>
          <c:extLst>
            <c:ext xmlns:c16="http://schemas.microsoft.com/office/drawing/2014/chart" uri="{C3380CC4-5D6E-409C-BE32-E72D297353CC}">
              <c16:uniqueId val="{00000006-E0AD-4D23-A56C-A185A2C562EB}"/>
            </c:ext>
          </c:extLst>
        </c:ser>
        <c:ser>
          <c:idx val="7"/>
          <c:order val="7"/>
          <c:tx>
            <c:strRef>
              <c:f>Sheet1!$A$11</c:f>
              <c:strCache>
                <c:ptCount val="1"/>
                <c:pt idx="0">
                  <c:v>Eswatini</c:v>
                </c:pt>
              </c:strCache>
            </c:strRef>
          </c:tx>
          <c:spPr>
            <a:solidFill>
              <a:schemeClr val="accent2">
                <a:lumMod val="60000"/>
              </a:schemeClr>
            </a:solidFill>
            <a:ln>
              <a:noFill/>
            </a:ln>
            <a:effectLst/>
            <a:sp3d/>
          </c:spPr>
          <c:invertIfNegative val="0"/>
          <c:cat>
            <c:strRef>
              <c:f>Sheet1!$B$3:$G$3</c:f>
              <c:strCache>
                <c:ptCount val="6"/>
                <c:pt idx="0">
                  <c:v>2011-19</c:v>
                </c:pt>
                <c:pt idx="1">
                  <c:v>2020</c:v>
                </c:pt>
                <c:pt idx="2">
                  <c:v>2021</c:v>
                </c:pt>
                <c:pt idx="3">
                  <c:v>2022</c:v>
                </c:pt>
                <c:pt idx="4">
                  <c:v>2023p</c:v>
                </c:pt>
                <c:pt idx="5">
                  <c:v>2024p</c:v>
                </c:pt>
              </c:strCache>
            </c:strRef>
          </c:cat>
          <c:val>
            <c:numRef>
              <c:f>Sheet1!$B$11:$G$11</c:f>
            </c:numRef>
          </c:val>
          <c:extLst>
            <c:ext xmlns:c16="http://schemas.microsoft.com/office/drawing/2014/chart" uri="{C3380CC4-5D6E-409C-BE32-E72D297353CC}">
              <c16:uniqueId val="{00000007-E0AD-4D23-A56C-A185A2C562EB}"/>
            </c:ext>
          </c:extLst>
        </c:ser>
        <c:ser>
          <c:idx val="8"/>
          <c:order val="8"/>
          <c:tx>
            <c:strRef>
              <c:f>Sheet1!$A$12</c:f>
              <c:strCache>
                <c:ptCount val="1"/>
                <c:pt idx="0">
                  <c:v>Libya</c:v>
                </c:pt>
              </c:strCache>
            </c:strRef>
          </c:tx>
          <c:spPr>
            <a:solidFill>
              <a:schemeClr val="accent3">
                <a:lumMod val="60000"/>
              </a:schemeClr>
            </a:solidFill>
            <a:ln>
              <a:noFill/>
            </a:ln>
            <a:effectLst/>
            <a:sp3d/>
          </c:spPr>
          <c:invertIfNegative val="0"/>
          <c:cat>
            <c:strRef>
              <c:f>Sheet1!$B$3:$G$3</c:f>
              <c:strCache>
                <c:ptCount val="6"/>
                <c:pt idx="0">
                  <c:v>2011-19</c:v>
                </c:pt>
                <c:pt idx="1">
                  <c:v>2020</c:v>
                </c:pt>
                <c:pt idx="2">
                  <c:v>2021</c:v>
                </c:pt>
                <c:pt idx="3">
                  <c:v>2022</c:v>
                </c:pt>
                <c:pt idx="4">
                  <c:v>2023p</c:v>
                </c:pt>
                <c:pt idx="5">
                  <c:v>2024p</c:v>
                </c:pt>
              </c:strCache>
            </c:strRef>
          </c:cat>
          <c:val>
            <c:numRef>
              <c:f>Sheet1!$B$12:$G$12</c:f>
            </c:numRef>
          </c:val>
          <c:extLst>
            <c:ext xmlns:c16="http://schemas.microsoft.com/office/drawing/2014/chart" uri="{C3380CC4-5D6E-409C-BE32-E72D297353CC}">
              <c16:uniqueId val="{00000008-E0AD-4D23-A56C-A185A2C562EB}"/>
            </c:ext>
          </c:extLst>
        </c:ser>
        <c:ser>
          <c:idx val="9"/>
          <c:order val="9"/>
          <c:tx>
            <c:strRef>
              <c:f>Sheet1!$A$13</c:f>
              <c:strCache>
                <c:ptCount val="1"/>
                <c:pt idx="0">
                  <c:v>Kenya</c:v>
                </c:pt>
              </c:strCache>
            </c:strRef>
          </c:tx>
          <c:spPr>
            <a:solidFill>
              <a:schemeClr val="accent4">
                <a:lumMod val="60000"/>
              </a:schemeClr>
            </a:solidFill>
            <a:ln>
              <a:noFill/>
            </a:ln>
            <a:effectLst/>
            <a:sp3d/>
          </c:spPr>
          <c:invertIfNegative val="0"/>
          <c:cat>
            <c:strRef>
              <c:f>Sheet1!$B$3:$G$3</c:f>
              <c:strCache>
                <c:ptCount val="6"/>
                <c:pt idx="0">
                  <c:v>2011-19</c:v>
                </c:pt>
                <c:pt idx="1">
                  <c:v>2020</c:v>
                </c:pt>
                <c:pt idx="2">
                  <c:v>2021</c:v>
                </c:pt>
                <c:pt idx="3">
                  <c:v>2022</c:v>
                </c:pt>
                <c:pt idx="4">
                  <c:v>2023p</c:v>
                </c:pt>
                <c:pt idx="5">
                  <c:v>2024p</c:v>
                </c:pt>
              </c:strCache>
            </c:strRef>
          </c:cat>
          <c:val>
            <c:numRef>
              <c:f>Sheet1!$B$13:$G$13</c:f>
            </c:numRef>
          </c:val>
          <c:extLst>
            <c:ext xmlns:c16="http://schemas.microsoft.com/office/drawing/2014/chart" uri="{C3380CC4-5D6E-409C-BE32-E72D297353CC}">
              <c16:uniqueId val="{00000009-E0AD-4D23-A56C-A185A2C562EB}"/>
            </c:ext>
          </c:extLst>
        </c:ser>
        <c:ser>
          <c:idx val="10"/>
          <c:order val="10"/>
          <c:tx>
            <c:strRef>
              <c:f>Sheet1!$A$14</c:f>
              <c:strCache>
                <c:ptCount val="1"/>
                <c:pt idx="0">
                  <c:v>Madagascar</c:v>
                </c:pt>
              </c:strCache>
            </c:strRef>
          </c:tx>
          <c:spPr>
            <a:solidFill>
              <a:schemeClr val="accent5">
                <a:lumMod val="60000"/>
              </a:schemeClr>
            </a:solidFill>
            <a:ln>
              <a:noFill/>
            </a:ln>
            <a:effectLst/>
            <a:sp3d/>
          </c:spPr>
          <c:invertIfNegative val="0"/>
          <c:cat>
            <c:strRef>
              <c:f>Sheet1!$B$3:$G$3</c:f>
              <c:strCache>
                <c:ptCount val="6"/>
                <c:pt idx="0">
                  <c:v>2011-19</c:v>
                </c:pt>
                <c:pt idx="1">
                  <c:v>2020</c:v>
                </c:pt>
                <c:pt idx="2">
                  <c:v>2021</c:v>
                </c:pt>
                <c:pt idx="3">
                  <c:v>2022</c:v>
                </c:pt>
                <c:pt idx="4">
                  <c:v>2023p</c:v>
                </c:pt>
                <c:pt idx="5">
                  <c:v>2024p</c:v>
                </c:pt>
              </c:strCache>
            </c:strRef>
          </c:cat>
          <c:val>
            <c:numRef>
              <c:f>Sheet1!$B$14:$G$14</c:f>
            </c:numRef>
          </c:val>
          <c:extLst>
            <c:ext xmlns:c16="http://schemas.microsoft.com/office/drawing/2014/chart" uri="{C3380CC4-5D6E-409C-BE32-E72D297353CC}">
              <c16:uniqueId val="{0000000A-E0AD-4D23-A56C-A185A2C562EB}"/>
            </c:ext>
          </c:extLst>
        </c:ser>
        <c:ser>
          <c:idx val="11"/>
          <c:order val="11"/>
          <c:tx>
            <c:strRef>
              <c:f>Sheet1!$A$15</c:f>
              <c:strCache>
                <c:ptCount val="1"/>
                <c:pt idx="0">
                  <c:v>Malawi</c:v>
                </c:pt>
              </c:strCache>
            </c:strRef>
          </c:tx>
          <c:spPr>
            <a:solidFill>
              <a:schemeClr val="accent6">
                <a:lumMod val="60000"/>
              </a:schemeClr>
            </a:solidFill>
            <a:ln>
              <a:noFill/>
            </a:ln>
            <a:effectLst/>
            <a:sp3d/>
          </c:spPr>
          <c:invertIfNegative val="0"/>
          <c:cat>
            <c:strRef>
              <c:f>Sheet1!$B$3:$G$3</c:f>
              <c:strCache>
                <c:ptCount val="6"/>
                <c:pt idx="0">
                  <c:v>2011-19</c:v>
                </c:pt>
                <c:pt idx="1">
                  <c:v>2020</c:v>
                </c:pt>
                <c:pt idx="2">
                  <c:v>2021</c:v>
                </c:pt>
                <c:pt idx="3">
                  <c:v>2022</c:v>
                </c:pt>
                <c:pt idx="4">
                  <c:v>2023p</c:v>
                </c:pt>
                <c:pt idx="5">
                  <c:v>2024p</c:v>
                </c:pt>
              </c:strCache>
            </c:strRef>
          </c:cat>
          <c:val>
            <c:numRef>
              <c:f>Sheet1!$B$15:$G$15</c:f>
            </c:numRef>
          </c:val>
          <c:extLst>
            <c:ext xmlns:c16="http://schemas.microsoft.com/office/drawing/2014/chart" uri="{C3380CC4-5D6E-409C-BE32-E72D297353CC}">
              <c16:uniqueId val="{0000000B-E0AD-4D23-A56C-A185A2C562EB}"/>
            </c:ext>
          </c:extLst>
        </c:ser>
        <c:ser>
          <c:idx val="12"/>
          <c:order val="12"/>
          <c:tx>
            <c:strRef>
              <c:f>Sheet1!$A$16</c:f>
              <c:strCache>
                <c:ptCount val="1"/>
                <c:pt idx="0">
                  <c:v>Mauritius</c:v>
                </c:pt>
              </c:strCache>
            </c:strRef>
          </c:tx>
          <c:spPr>
            <a:solidFill>
              <a:schemeClr val="accent1">
                <a:lumMod val="80000"/>
                <a:lumOff val="20000"/>
              </a:schemeClr>
            </a:solidFill>
            <a:ln>
              <a:noFill/>
            </a:ln>
            <a:effectLst/>
            <a:sp3d/>
          </c:spPr>
          <c:invertIfNegative val="0"/>
          <c:cat>
            <c:strRef>
              <c:f>Sheet1!$B$3:$G$3</c:f>
              <c:strCache>
                <c:ptCount val="6"/>
                <c:pt idx="0">
                  <c:v>2011-19</c:v>
                </c:pt>
                <c:pt idx="1">
                  <c:v>2020</c:v>
                </c:pt>
                <c:pt idx="2">
                  <c:v>2021</c:v>
                </c:pt>
                <c:pt idx="3">
                  <c:v>2022</c:v>
                </c:pt>
                <c:pt idx="4">
                  <c:v>2023p</c:v>
                </c:pt>
                <c:pt idx="5">
                  <c:v>2024p</c:v>
                </c:pt>
              </c:strCache>
            </c:strRef>
          </c:cat>
          <c:val>
            <c:numRef>
              <c:f>Sheet1!$B$16:$G$16</c:f>
            </c:numRef>
          </c:val>
          <c:extLst>
            <c:ext xmlns:c16="http://schemas.microsoft.com/office/drawing/2014/chart" uri="{C3380CC4-5D6E-409C-BE32-E72D297353CC}">
              <c16:uniqueId val="{0000000C-E0AD-4D23-A56C-A185A2C562EB}"/>
            </c:ext>
          </c:extLst>
        </c:ser>
        <c:ser>
          <c:idx val="13"/>
          <c:order val="13"/>
          <c:tx>
            <c:strRef>
              <c:f>Sheet1!$A$17</c:f>
              <c:strCache>
                <c:ptCount val="1"/>
                <c:pt idx="0">
                  <c:v>Rwanda</c:v>
                </c:pt>
              </c:strCache>
            </c:strRef>
          </c:tx>
          <c:spPr>
            <a:solidFill>
              <a:schemeClr val="accent2">
                <a:lumMod val="80000"/>
                <a:lumOff val="20000"/>
              </a:schemeClr>
            </a:solidFill>
            <a:ln>
              <a:noFill/>
            </a:ln>
            <a:effectLst/>
            <a:sp3d/>
          </c:spPr>
          <c:invertIfNegative val="0"/>
          <c:cat>
            <c:strRef>
              <c:f>Sheet1!$B$3:$G$3</c:f>
              <c:strCache>
                <c:ptCount val="6"/>
                <c:pt idx="0">
                  <c:v>2011-19</c:v>
                </c:pt>
                <c:pt idx="1">
                  <c:v>2020</c:v>
                </c:pt>
                <c:pt idx="2">
                  <c:v>2021</c:v>
                </c:pt>
                <c:pt idx="3">
                  <c:v>2022</c:v>
                </c:pt>
                <c:pt idx="4">
                  <c:v>2023p</c:v>
                </c:pt>
                <c:pt idx="5">
                  <c:v>2024p</c:v>
                </c:pt>
              </c:strCache>
            </c:strRef>
          </c:cat>
          <c:val>
            <c:numRef>
              <c:f>Sheet1!$B$17:$G$17</c:f>
            </c:numRef>
          </c:val>
          <c:extLst>
            <c:ext xmlns:c16="http://schemas.microsoft.com/office/drawing/2014/chart" uri="{C3380CC4-5D6E-409C-BE32-E72D297353CC}">
              <c16:uniqueId val="{0000000D-E0AD-4D23-A56C-A185A2C562EB}"/>
            </c:ext>
          </c:extLst>
        </c:ser>
        <c:ser>
          <c:idx val="14"/>
          <c:order val="14"/>
          <c:tx>
            <c:strRef>
              <c:f>Sheet1!$A$18</c:f>
              <c:strCache>
                <c:ptCount val="1"/>
                <c:pt idx="0">
                  <c:v>Seychelles</c:v>
                </c:pt>
              </c:strCache>
            </c:strRef>
          </c:tx>
          <c:spPr>
            <a:solidFill>
              <a:schemeClr val="accent3">
                <a:lumMod val="80000"/>
                <a:lumOff val="20000"/>
              </a:schemeClr>
            </a:solidFill>
            <a:ln>
              <a:noFill/>
            </a:ln>
            <a:effectLst/>
            <a:sp3d/>
          </c:spPr>
          <c:invertIfNegative val="0"/>
          <c:cat>
            <c:strRef>
              <c:f>Sheet1!$B$3:$G$3</c:f>
              <c:strCache>
                <c:ptCount val="6"/>
                <c:pt idx="0">
                  <c:v>2011-19</c:v>
                </c:pt>
                <c:pt idx="1">
                  <c:v>2020</c:v>
                </c:pt>
                <c:pt idx="2">
                  <c:v>2021</c:v>
                </c:pt>
                <c:pt idx="3">
                  <c:v>2022</c:v>
                </c:pt>
                <c:pt idx="4">
                  <c:v>2023p</c:v>
                </c:pt>
                <c:pt idx="5">
                  <c:v>2024p</c:v>
                </c:pt>
              </c:strCache>
            </c:strRef>
          </c:cat>
          <c:val>
            <c:numRef>
              <c:f>Sheet1!$B$18:$G$18</c:f>
            </c:numRef>
          </c:val>
          <c:extLst>
            <c:ext xmlns:c16="http://schemas.microsoft.com/office/drawing/2014/chart" uri="{C3380CC4-5D6E-409C-BE32-E72D297353CC}">
              <c16:uniqueId val="{0000000E-E0AD-4D23-A56C-A185A2C562EB}"/>
            </c:ext>
          </c:extLst>
        </c:ser>
        <c:ser>
          <c:idx val="15"/>
          <c:order val="15"/>
          <c:tx>
            <c:strRef>
              <c:f>Sheet1!$A$19</c:f>
              <c:strCache>
                <c:ptCount val="1"/>
                <c:pt idx="0">
                  <c:v>Somalia</c:v>
                </c:pt>
              </c:strCache>
            </c:strRef>
          </c:tx>
          <c:spPr>
            <a:solidFill>
              <a:schemeClr val="accent4">
                <a:lumMod val="80000"/>
                <a:lumOff val="20000"/>
              </a:schemeClr>
            </a:solidFill>
            <a:ln>
              <a:noFill/>
            </a:ln>
            <a:effectLst/>
            <a:sp3d/>
          </c:spPr>
          <c:invertIfNegative val="0"/>
          <c:cat>
            <c:strRef>
              <c:f>Sheet1!$B$3:$G$3</c:f>
              <c:strCache>
                <c:ptCount val="6"/>
                <c:pt idx="0">
                  <c:v>2011-19</c:v>
                </c:pt>
                <c:pt idx="1">
                  <c:v>2020</c:v>
                </c:pt>
                <c:pt idx="2">
                  <c:v>2021</c:v>
                </c:pt>
                <c:pt idx="3">
                  <c:v>2022</c:v>
                </c:pt>
                <c:pt idx="4">
                  <c:v>2023p</c:v>
                </c:pt>
                <c:pt idx="5">
                  <c:v>2024p</c:v>
                </c:pt>
              </c:strCache>
            </c:strRef>
          </c:cat>
          <c:val>
            <c:numRef>
              <c:f>Sheet1!$B$19:$G$19</c:f>
            </c:numRef>
          </c:val>
          <c:extLst>
            <c:ext xmlns:c16="http://schemas.microsoft.com/office/drawing/2014/chart" uri="{C3380CC4-5D6E-409C-BE32-E72D297353CC}">
              <c16:uniqueId val="{0000000F-E0AD-4D23-A56C-A185A2C562EB}"/>
            </c:ext>
          </c:extLst>
        </c:ser>
        <c:ser>
          <c:idx val="16"/>
          <c:order val="16"/>
          <c:tx>
            <c:strRef>
              <c:f>Sheet1!$A$20</c:f>
              <c:strCache>
                <c:ptCount val="1"/>
                <c:pt idx="0">
                  <c:v>Sudan</c:v>
                </c:pt>
              </c:strCache>
            </c:strRef>
          </c:tx>
          <c:spPr>
            <a:solidFill>
              <a:schemeClr val="accent5">
                <a:lumMod val="80000"/>
                <a:lumOff val="20000"/>
              </a:schemeClr>
            </a:solidFill>
            <a:ln>
              <a:noFill/>
            </a:ln>
            <a:effectLst/>
            <a:sp3d/>
          </c:spPr>
          <c:invertIfNegative val="0"/>
          <c:cat>
            <c:strRef>
              <c:f>Sheet1!$B$3:$G$3</c:f>
              <c:strCache>
                <c:ptCount val="6"/>
                <c:pt idx="0">
                  <c:v>2011-19</c:v>
                </c:pt>
                <c:pt idx="1">
                  <c:v>2020</c:v>
                </c:pt>
                <c:pt idx="2">
                  <c:v>2021</c:v>
                </c:pt>
                <c:pt idx="3">
                  <c:v>2022</c:v>
                </c:pt>
                <c:pt idx="4">
                  <c:v>2023p</c:v>
                </c:pt>
                <c:pt idx="5">
                  <c:v>2024p</c:v>
                </c:pt>
              </c:strCache>
            </c:strRef>
          </c:cat>
          <c:val>
            <c:numRef>
              <c:f>Sheet1!$B$20:$G$20</c:f>
            </c:numRef>
          </c:val>
          <c:extLst>
            <c:ext xmlns:c16="http://schemas.microsoft.com/office/drawing/2014/chart" uri="{C3380CC4-5D6E-409C-BE32-E72D297353CC}">
              <c16:uniqueId val="{00000010-E0AD-4D23-A56C-A185A2C562EB}"/>
            </c:ext>
          </c:extLst>
        </c:ser>
        <c:ser>
          <c:idx val="17"/>
          <c:order val="17"/>
          <c:tx>
            <c:strRef>
              <c:f>Sheet1!$A$21</c:f>
              <c:strCache>
                <c:ptCount val="1"/>
                <c:pt idx="0">
                  <c:v>Tunisia</c:v>
                </c:pt>
              </c:strCache>
            </c:strRef>
          </c:tx>
          <c:spPr>
            <a:solidFill>
              <a:schemeClr val="accent6">
                <a:lumMod val="80000"/>
                <a:lumOff val="20000"/>
              </a:schemeClr>
            </a:solidFill>
            <a:ln>
              <a:noFill/>
            </a:ln>
            <a:effectLst/>
            <a:sp3d/>
          </c:spPr>
          <c:invertIfNegative val="0"/>
          <c:cat>
            <c:strRef>
              <c:f>Sheet1!$B$3:$G$3</c:f>
              <c:strCache>
                <c:ptCount val="6"/>
                <c:pt idx="0">
                  <c:v>2011-19</c:v>
                </c:pt>
                <c:pt idx="1">
                  <c:v>2020</c:v>
                </c:pt>
                <c:pt idx="2">
                  <c:v>2021</c:v>
                </c:pt>
                <c:pt idx="3">
                  <c:v>2022</c:v>
                </c:pt>
                <c:pt idx="4">
                  <c:v>2023p</c:v>
                </c:pt>
                <c:pt idx="5">
                  <c:v>2024p</c:v>
                </c:pt>
              </c:strCache>
            </c:strRef>
          </c:cat>
          <c:val>
            <c:numRef>
              <c:f>Sheet1!$B$21:$G$21</c:f>
            </c:numRef>
          </c:val>
          <c:extLst>
            <c:ext xmlns:c16="http://schemas.microsoft.com/office/drawing/2014/chart" uri="{C3380CC4-5D6E-409C-BE32-E72D297353CC}">
              <c16:uniqueId val="{00000011-E0AD-4D23-A56C-A185A2C562EB}"/>
            </c:ext>
          </c:extLst>
        </c:ser>
        <c:ser>
          <c:idx val="18"/>
          <c:order val="18"/>
          <c:tx>
            <c:strRef>
              <c:f>Sheet1!$A$22</c:f>
              <c:strCache>
                <c:ptCount val="1"/>
                <c:pt idx="0">
                  <c:v>Uganda</c:v>
                </c:pt>
              </c:strCache>
            </c:strRef>
          </c:tx>
          <c:spPr>
            <a:solidFill>
              <a:schemeClr val="accent1">
                <a:lumMod val="80000"/>
              </a:schemeClr>
            </a:solidFill>
            <a:ln>
              <a:noFill/>
            </a:ln>
            <a:effectLst/>
            <a:sp3d/>
          </c:spPr>
          <c:invertIfNegative val="0"/>
          <c:cat>
            <c:strRef>
              <c:f>Sheet1!$B$3:$G$3</c:f>
              <c:strCache>
                <c:ptCount val="6"/>
                <c:pt idx="0">
                  <c:v>2011-19</c:v>
                </c:pt>
                <c:pt idx="1">
                  <c:v>2020</c:v>
                </c:pt>
                <c:pt idx="2">
                  <c:v>2021</c:v>
                </c:pt>
                <c:pt idx="3">
                  <c:v>2022</c:v>
                </c:pt>
                <c:pt idx="4">
                  <c:v>2023p</c:v>
                </c:pt>
                <c:pt idx="5">
                  <c:v>2024p</c:v>
                </c:pt>
              </c:strCache>
            </c:strRef>
          </c:cat>
          <c:val>
            <c:numRef>
              <c:f>Sheet1!$B$22:$G$22</c:f>
            </c:numRef>
          </c:val>
          <c:extLst>
            <c:ext xmlns:c16="http://schemas.microsoft.com/office/drawing/2014/chart" uri="{C3380CC4-5D6E-409C-BE32-E72D297353CC}">
              <c16:uniqueId val="{00000012-E0AD-4D23-A56C-A185A2C562EB}"/>
            </c:ext>
          </c:extLst>
        </c:ser>
        <c:ser>
          <c:idx val="19"/>
          <c:order val="19"/>
          <c:tx>
            <c:strRef>
              <c:f>Sheet1!$A$23</c:f>
              <c:strCache>
                <c:ptCount val="1"/>
                <c:pt idx="0">
                  <c:v>Zambia</c:v>
                </c:pt>
              </c:strCache>
            </c:strRef>
          </c:tx>
          <c:spPr>
            <a:solidFill>
              <a:schemeClr val="accent2">
                <a:lumMod val="80000"/>
              </a:schemeClr>
            </a:solidFill>
            <a:ln>
              <a:noFill/>
            </a:ln>
            <a:effectLst/>
            <a:sp3d/>
          </c:spPr>
          <c:invertIfNegative val="0"/>
          <c:cat>
            <c:strRef>
              <c:f>Sheet1!$B$3:$G$3</c:f>
              <c:strCache>
                <c:ptCount val="6"/>
                <c:pt idx="0">
                  <c:v>2011-19</c:v>
                </c:pt>
                <c:pt idx="1">
                  <c:v>2020</c:v>
                </c:pt>
                <c:pt idx="2">
                  <c:v>2021</c:v>
                </c:pt>
                <c:pt idx="3">
                  <c:v>2022</c:v>
                </c:pt>
                <c:pt idx="4">
                  <c:v>2023p</c:v>
                </c:pt>
                <c:pt idx="5">
                  <c:v>2024p</c:v>
                </c:pt>
              </c:strCache>
            </c:strRef>
          </c:cat>
          <c:val>
            <c:numRef>
              <c:f>Sheet1!$B$23:$G$23</c:f>
            </c:numRef>
          </c:val>
          <c:extLst>
            <c:ext xmlns:c16="http://schemas.microsoft.com/office/drawing/2014/chart" uri="{C3380CC4-5D6E-409C-BE32-E72D297353CC}">
              <c16:uniqueId val="{00000013-E0AD-4D23-A56C-A185A2C562EB}"/>
            </c:ext>
          </c:extLst>
        </c:ser>
        <c:ser>
          <c:idx val="20"/>
          <c:order val="20"/>
          <c:tx>
            <c:strRef>
              <c:f>Sheet1!$A$24</c:f>
              <c:strCache>
                <c:ptCount val="1"/>
                <c:pt idx="0">
                  <c:v>Zimbabwe</c:v>
                </c:pt>
              </c:strCache>
            </c:strRef>
          </c:tx>
          <c:spPr>
            <a:solidFill>
              <a:schemeClr val="accent3">
                <a:lumMod val="80000"/>
              </a:schemeClr>
            </a:solidFill>
            <a:ln>
              <a:noFill/>
            </a:ln>
            <a:effectLst/>
            <a:sp3d/>
          </c:spPr>
          <c:invertIfNegative val="0"/>
          <c:cat>
            <c:strRef>
              <c:f>Sheet1!$B$3:$G$3</c:f>
              <c:strCache>
                <c:ptCount val="6"/>
                <c:pt idx="0">
                  <c:v>2011-19</c:v>
                </c:pt>
                <c:pt idx="1">
                  <c:v>2020</c:v>
                </c:pt>
                <c:pt idx="2">
                  <c:v>2021</c:v>
                </c:pt>
                <c:pt idx="3">
                  <c:v>2022</c:v>
                </c:pt>
                <c:pt idx="4">
                  <c:v>2023p</c:v>
                </c:pt>
                <c:pt idx="5">
                  <c:v>2024p</c:v>
                </c:pt>
              </c:strCache>
            </c:strRef>
          </c:cat>
          <c:val>
            <c:numRef>
              <c:f>Sheet1!$B$24:$G$24</c:f>
            </c:numRef>
          </c:val>
          <c:extLst>
            <c:ext xmlns:c16="http://schemas.microsoft.com/office/drawing/2014/chart" uri="{C3380CC4-5D6E-409C-BE32-E72D297353CC}">
              <c16:uniqueId val="{00000014-E0AD-4D23-A56C-A185A2C562EB}"/>
            </c:ext>
          </c:extLst>
        </c:ser>
        <c:ser>
          <c:idx val="21"/>
          <c:order val="21"/>
          <c:tx>
            <c:strRef>
              <c:f>Sheet1!$A$25</c:f>
              <c:strCache>
                <c:ptCount val="1"/>
                <c:pt idx="0">
                  <c:v>COMESA </c:v>
                </c:pt>
              </c:strCache>
            </c:strRef>
          </c:tx>
          <c:spPr>
            <a:solidFill>
              <a:schemeClr val="accent4">
                <a:lumMod val="80000"/>
              </a:schemeClr>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Sheet1!$B$3:$G$3</c:f>
              <c:strCache>
                <c:ptCount val="6"/>
                <c:pt idx="0">
                  <c:v>2011-19</c:v>
                </c:pt>
                <c:pt idx="1">
                  <c:v>2020</c:v>
                </c:pt>
                <c:pt idx="2">
                  <c:v>2021</c:v>
                </c:pt>
                <c:pt idx="3">
                  <c:v>2022</c:v>
                </c:pt>
                <c:pt idx="4">
                  <c:v>2023p</c:v>
                </c:pt>
                <c:pt idx="5">
                  <c:v>2024p</c:v>
                </c:pt>
              </c:strCache>
            </c:strRef>
          </c:cat>
          <c:val>
            <c:numRef>
              <c:f>Sheet1!$B$25:$G$25</c:f>
              <c:numCache>
                <c:formatCode>General</c:formatCode>
                <c:ptCount val="6"/>
                <c:pt idx="0">
                  <c:v>5.8</c:v>
                </c:pt>
                <c:pt idx="1">
                  <c:v>0.5</c:v>
                </c:pt>
                <c:pt idx="2">
                  <c:v>6.5</c:v>
                </c:pt>
                <c:pt idx="3">
                  <c:v>5.4</c:v>
                </c:pt>
                <c:pt idx="4">
                  <c:v>5.3</c:v>
                </c:pt>
                <c:pt idx="5">
                  <c:v>5.6</c:v>
                </c:pt>
              </c:numCache>
            </c:numRef>
          </c:val>
          <c:extLst>
            <c:ext xmlns:c16="http://schemas.microsoft.com/office/drawing/2014/chart" uri="{C3380CC4-5D6E-409C-BE32-E72D297353CC}">
              <c16:uniqueId val="{00000015-E0AD-4D23-A56C-A185A2C562EB}"/>
            </c:ext>
          </c:extLst>
        </c:ser>
        <c:dLbls>
          <c:showLegendKey val="0"/>
          <c:showVal val="0"/>
          <c:showCatName val="0"/>
          <c:showSerName val="0"/>
          <c:showPercent val="0"/>
          <c:showBubbleSize val="0"/>
        </c:dLbls>
        <c:gapWidth val="150"/>
        <c:shape val="box"/>
        <c:axId val="133067407"/>
        <c:axId val="133070319"/>
        <c:axId val="159061391"/>
      </c:bar3DChart>
      <c:catAx>
        <c:axId val="133067407"/>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3070319"/>
        <c:crosses val="autoZero"/>
        <c:auto val="1"/>
        <c:lblAlgn val="ctr"/>
        <c:lblOffset val="100"/>
        <c:noMultiLvlLbl val="0"/>
      </c:catAx>
      <c:valAx>
        <c:axId val="133070319"/>
        <c:scaling>
          <c:orientation val="minMax"/>
          <c:max val="8"/>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3067407"/>
        <c:crosses val="autoZero"/>
        <c:crossBetween val="between"/>
        <c:majorUnit val="2"/>
      </c:valAx>
      <c:serAx>
        <c:axId val="159061391"/>
        <c:scaling>
          <c:orientation val="minMax"/>
        </c:scaling>
        <c:delete val="1"/>
        <c:axPos val="b"/>
        <c:majorTickMark val="none"/>
        <c:minorTickMark val="none"/>
        <c:tickLblPos val="nextTo"/>
        <c:crossAx val="133070319"/>
        <c:crosses val="autoZero"/>
      </c:ser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Sheet1!$A$55</c:f>
              <c:strCache>
                <c:ptCount val="1"/>
                <c:pt idx="0">
                  <c:v>COMESA </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Sheet1!$B$54:$G$54</c:f>
              <c:strCache>
                <c:ptCount val="6"/>
                <c:pt idx="0">
                  <c:v>2011-19</c:v>
                </c:pt>
                <c:pt idx="1">
                  <c:v>2020</c:v>
                </c:pt>
                <c:pt idx="2">
                  <c:v>2021</c:v>
                </c:pt>
                <c:pt idx="3">
                  <c:v>2022</c:v>
                </c:pt>
                <c:pt idx="4">
                  <c:v>2023p</c:v>
                </c:pt>
                <c:pt idx="5">
                  <c:v>2024p</c:v>
                </c:pt>
              </c:strCache>
            </c:strRef>
          </c:cat>
          <c:val>
            <c:numRef>
              <c:f>Sheet1!$B$55:$G$55</c:f>
              <c:numCache>
                <c:formatCode>General</c:formatCode>
                <c:ptCount val="6"/>
                <c:pt idx="0">
                  <c:v>9.4</c:v>
                </c:pt>
                <c:pt idx="1">
                  <c:v>17.100000000000001</c:v>
                </c:pt>
                <c:pt idx="2">
                  <c:v>14.6</c:v>
                </c:pt>
                <c:pt idx="3">
                  <c:v>19.399999999999999</c:v>
                </c:pt>
                <c:pt idx="4">
                  <c:v>18.5</c:v>
                </c:pt>
                <c:pt idx="5">
                  <c:v>14.1</c:v>
                </c:pt>
              </c:numCache>
            </c:numRef>
          </c:val>
          <c:extLst>
            <c:ext xmlns:c16="http://schemas.microsoft.com/office/drawing/2014/chart" uri="{C3380CC4-5D6E-409C-BE32-E72D297353CC}">
              <c16:uniqueId val="{00000000-BC14-4A7C-89AC-145BF6BE1A89}"/>
            </c:ext>
          </c:extLst>
        </c:ser>
        <c:dLbls>
          <c:showLegendKey val="0"/>
          <c:showVal val="0"/>
          <c:showCatName val="0"/>
          <c:showSerName val="0"/>
          <c:showPercent val="0"/>
          <c:showBubbleSize val="0"/>
        </c:dLbls>
        <c:gapWidth val="150"/>
        <c:shape val="box"/>
        <c:axId val="325634304"/>
        <c:axId val="325627648"/>
        <c:axId val="0"/>
      </c:bar3DChart>
      <c:catAx>
        <c:axId val="32563430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25627648"/>
        <c:crosses val="autoZero"/>
        <c:auto val="1"/>
        <c:lblAlgn val="ctr"/>
        <c:lblOffset val="100"/>
        <c:noMultiLvlLbl val="0"/>
      </c:catAx>
      <c:valAx>
        <c:axId val="32562764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2563430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Sheet1!$A$82:$B$82</c:f>
              <c:strCache>
                <c:ptCount val="2"/>
                <c:pt idx="0">
                  <c:v>COMESA </c:v>
                </c:pt>
                <c:pt idx="1">
                  <c:v>-3.5</c:v>
                </c:pt>
              </c:strCache>
            </c:strRef>
          </c:tx>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9525" cap="flat" cmpd="sng" algn="ctr">
              <a:solidFill>
                <a:schemeClr val="accent1">
                  <a:shade val="95000"/>
                </a:schemeClr>
              </a:solidFill>
              <a:round/>
            </a:ln>
            <a:effectLst/>
            <a:sp3d contourW="9525">
              <a:contourClr>
                <a:schemeClr val="accent1">
                  <a:shade val="9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Sheet1!$C$81:$G$81</c:f>
              <c:strCache>
                <c:ptCount val="5"/>
                <c:pt idx="0">
                  <c:v>2020</c:v>
                </c:pt>
                <c:pt idx="1">
                  <c:v>2021</c:v>
                </c:pt>
                <c:pt idx="2">
                  <c:v>2022</c:v>
                </c:pt>
                <c:pt idx="3">
                  <c:v>2023p</c:v>
                </c:pt>
                <c:pt idx="4">
                  <c:v>2024p</c:v>
                </c:pt>
              </c:strCache>
            </c:strRef>
          </c:cat>
          <c:val>
            <c:numRef>
              <c:f>Sheet1!$C$82:$G$82</c:f>
              <c:numCache>
                <c:formatCode>General</c:formatCode>
                <c:ptCount val="5"/>
                <c:pt idx="0">
                  <c:v>-5.4</c:v>
                </c:pt>
                <c:pt idx="1">
                  <c:v>-4.7</c:v>
                </c:pt>
                <c:pt idx="2">
                  <c:v>-4.9000000000000004</c:v>
                </c:pt>
                <c:pt idx="3">
                  <c:v>-3.9</c:v>
                </c:pt>
                <c:pt idx="4">
                  <c:v>-3.6</c:v>
                </c:pt>
              </c:numCache>
            </c:numRef>
          </c:val>
          <c:extLst>
            <c:ext xmlns:c16="http://schemas.microsoft.com/office/drawing/2014/chart" uri="{C3380CC4-5D6E-409C-BE32-E72D297353CC}">
              <c16:uniqueId val="{00000000-721B-41B8-AD38-0E6C87E0D281}"/>
            </c:ext>
          </c:extLst>
        </c:ser>
        <c:dLbls>
          <c:showLegendKey val="0"/>
          <c:showVal val="0"/>
          <c:showCatName val="0"/>
          <c:showSerName val="0"/>
          <c:showPercent val="0"/>
          <c:showBubbleSize val="0"/>
        </c:dLbls>
        <c:gapWidth val="150"/>
        <c:shape val="box"/>
        <c:axId val="412462287"/>
        <c:axId val="412464367"/>
        <c:axId val="0"/>
      </c:bar3DChart>
      <c:catAx>
        <c:axId val="412462287"/>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n-US"/>
          </a:p>
        </c:txPr>
        <c:crossAx val="412464367"/>
        <c:crosses val="autoZero"/>
        <c:auto val="1"/>
        <c:lblAlgn val="ctr"/>
        <c:lblOffset val="100"/>
        <c:noMultiLvlLbl val="0"/>
      </c:catAx>
      <c:valAx>
        <c:axId val="412464367"/>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n-US"/>
          </a:p>
        </c:txPr>
        <c:crossAx val="412462287"/>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5.5622931294871281E-2"/>
          <c:y val="5.0925925925925923E-2"/>
          <c:w val="0.92210039238523567"/>
          <c:h val="0.74445246427529888"/>
        </c:manualLayout>
      </c:layout>
      <c:bar3DChart>
        <c:barDir val="col"/>
        <c:grouping val="standard"/>
        <c:varyColors val="0"/>
        <c:ser>
          <c:idx val="0"/>
          <c:order val="0"/>
          <c:tx>
            <c:strRef>
              <c:f>Sheet1!$A$88:$B$88</c:f>
              <c:strCache>
                <c:ptCount val="2"/>
                <c:pt idx="0">
                  <c:v>Burundi</c:v>
                </c:pt>
                <c:pt idx="1">
                  <c:v>45.1</c:v>
                </c:pt>
              </c:strCache>
            </c:strRef>
          </c:tx>
          <c:spPr>
            <a:solidFill>
              <a:schemeClr val="accent1"/>
            </a:solidFill>
            <a:ln>
              <a:noFill/>
            </a:ln>
            <a:effectLst/>
            <a:sp3d/>
          </c:spPr>
          <c:invertIfNegative val="0"/>
          <c:cat>
            <c:strRef>
              <c:f>Sheet1!$C$87:$G$87</c:f>
              <c:strCache>
                <c:ptCount val="5"/>
                <c:pt idx="0">
                  <c:v>2020</c:v>
                </c:pt>
                <c:pt idx="1">
                  <c:v>2021</c:v>
                </c:pt>
                <c:pt idx="2">
                  <c:v>2022</c:v>
                </c:pt>
                <c:pt idx="3">
                  <c:v>2023p</c:v>
                </c:pt>
                <c:pt idx="4">
                  <c:v>2024p</c:v>
                </c:pt>
              </c:strCache>
            </c:strRef>
          </c:cat>
          <c:val>
            <c:numRef>
              <c:f>Sheet1!$C$88:$G$88</c:f>
            </c:numRef>
          </c:val>
          <c:extLst>
            <c:ext xmlns:c16="http://schemas.microsoft.com/office/drawing/2014/chart" uri="{C3380CC4-5D6E-409C-BE32-E72D297353CC}">
              <c16:uniqueId val="{00000000-2EB1-4A9F-8DBA-C7CB1E4CFD66}"/>
            </c:ext>
          </c:extLst>
        </c:ser>
        <c:ser>
          <c:idx val="1"/>
          <c:order val="1"/>
          <c:tx>
            <c:strRef>
              <c:f>Sheet1!$A$89:$B$89</c:f>
              <c:strCache>
                <c:ptCount val="2"/>
                <c:pt idx="0">
                  <c:v>Comoros</c:v>
                </c:pt>
                <c:pt idx="1">
                  <c:v>18.1</c:v>
                </c:pt>
              </c:strCache>
            </c:strRef>
          </c:tx>
          <c:spPr>
            <a:solidFill>
              <a:schemeClr val="accent2"/>
            </a:solidFill>
            <a:ln>
              <a:noFill/>
            </a:ln>
            <a:effectLst/>
            <a:sp3d/>
          </c:spPr>
          <c:invertIfNegative val="0"/>
          <c:cat>
            <c:strRef>
              <c:f>Sheet1!$C$87:$G$87</c:f>
              <c:strCache>
                <c:ptCount val="5"/>
                <c:pt idx="0">
                  <c:v>2020</c:v>
                </c:pt>
                <c:pt idx="1">
                  <c:v>2021</c:v>
                </c:pt>
                <c:pt idx="2">
                  <c:v>2022</c:v>
                </c:pt>
                <c:pt idx="3">
                  <c:v>2023p</c:v>
                </c:pt>
                <c:pt idx="4">
                  <c:v>2024p</c:v>
                </c:pt>
              </c:strCache>
            </c:strRef>
          </c:cat>
          <c:val>
            <c:numRef>
              <c:f>Sheet1!$C$89:$G$89</c:f>
            </c:numRef>
          </c:val>
          <c:extLst>
            <c:ext xmlns:c16="http://schemas.microsoft.com/office/drawing/2014/chart" uri="{C3380CC4-5D6E-409C-BE32-E72D297353CC}">
              <c16:uniqueId val="{00000001-2EB1-4A9F-8DBA-C7CB1E4CFD66}"/>
            </c:ext>
          </c:extLst>
        </c:ser>
        <c:ser>
          <c:idx val="2"/>
          <c:order val="2"/>
          <c:tx>
            <c:strRef>
              <c:f>Sheet1!$A$90:$B$90</c:f>
              <c:strCache>
                <c:ptCount val="2"/>
                <c:pt idx="0">
                  <c:v>Congo, Dem. Rep.</c:v>
                </c:pt>
                <c:pt idx="1">
                  <c:v>18</c:v>
                </c:pt>
              </c:strCache>
            </c:strRef>
          </c:tx>
          <c:spPr>
            <a:solidFill>
              <a:schemeClr val="accent3"/>
            </a:solidFill>
            <a:ln>
              <a:noFill/>
            </a:ln>
            <a:effectLst/>
            <a:sp3d/>
          </c:spPr>
          <c:invertIfNegative val="0"/>
          <c:cat>
            <c:strRef>
              <c:f>Sheet1!$C$87:$G$87</c:f>
              <c:strCache>
                <c:ptCount val="5"/>
                <c:pt idx="0">
                  <c:v>2020</c:v>
                </c:pt>
                <c:pt idx="1">
                  <c:v>2021</c:v>
                </c:pt>
                <c:pt idx="2">
                  <c:v>2022</c:v>
                </c:pt>
                <c:pt idx="3">
                  <c:v>2023p</c:v>
                </c:pt>
                <c:pt idx="4">
                  <c:v>2024p</c:v>
                </c:pt>
              </c:strCache>
            </c:strRef>
          </c:cat>
          <c:val>
            <c:numRef>
              <c:f>Sheet1!$C$90:$G$90</c:f>
            </c:numRef>
          </c:val>
          <c:extLst>
            <c:ext xmlns:c16="http://schemas.microsoft.com/office/drawing/2014/chart" uri="{C3380CC4-5D6E-409C-BE32-E72D297353CC}">
              <c16:uniqueId val="{00000002-2EB1-4A9F-8DBA-C7CB1E4CFD66}"/>
            </c:ext>
          </c:extLst>
        </c:ser>
        <c:ser>
          <c:idx val="3"/>
          <c:order val="3"/>
          <c:tx>
            <c:strRef>
              <c:f>Sheet1!$A$91:$B$91</c:f>
              <c:strCache>
                <c:ptCount val="2"/>
                <c:pt idx="0">
                  <c:v>Djibouti</c:v>
                </c:pt>
                <c:pt idx="1">
                  <c:v>34.9</c:v>
                </c:pt>
              </c:strCache>
            </c:strRef>
          </c:tx>
          <c:spPr>
            <a:solidFill>
              <a:schemeClr val="accent4"/>
            </a:solidFill>
            <a:ln>
              <a:noFill/>
            </a:ln>
            <a:effectLst/>
            <a:sp3d/>
          </c:spPr>
          <c:invertIfNegative val="0"/>
          <c:cat>
            <c:strRef>
              <c:f>Sheet1!$C$87:$G$87</c:f>
              <c:strCache>
                <c:ptCount val="5"/>
                <c:pt idx="0">
                  <c:v>2020</c:v>
                </c:pt>
                <c:pt idx="1">
                  <c:v>2021</c:v>
                </c:pt>
                <c:pt idx="2">
                  <c:v>2022</c:v>
                </c:pt>
                <c:pt idx="3">
                  <c:v>2023p</c:v>
                </c:pt>
                <c:pt idx="4">
                  <c:v>2024p</c:v>
                </c:pt>
              </c:strCache>
            </c:strRef>
          </c:cat>
          <c:val>
            <c:numRef>
              <c:f>Sheet1!$C$91:$G$91</c:f>
            </c:numRef>
          </c:val>
          <c:extLst>
            <c:ext xmlns:c16="http://schemas.microsoft.com/office/drawing/2014/chart" uri="{C3380CC4-5D6E-409C-BE32-E72D297353CC}">
              <c16:uniqueId val="{00000003-2EB1-4A9F-8DBA-C7CB1E4CFD66}"/>
            </c:ext>
          </c:extLst>
        </c:ser>
        <c:ser>
          <c:idx val="4"/>
          <c:order val="4"/>
          <c:tx>
            <c:strRef>
              <c:f>Sheet1!$A$92:$B$92</c:f>
              <c:strCache>
                <c:ptCount val="2"/>
                <c:pt idx="0">
                  <c:v>Egypt, Arab Rep.</c:v>
                </c:pt>
                <c:pt idx="1">
                  <c:v>82.1</c:v>
                </c:pt>
              </c:strCache>
            </c:strRef>
          </c:tx>
          <c:spPr>
            <a:solidFill>
              <a:schemeClr val="accent5"/>
            </a:solidFill>
            <a:ln>
              <a:noFill/>
            </a:ln>
            <a:effectLst/>
            <a:sp3d/>
          </c:spPr>
          <c:invertIfNegative val="0"/>
          <c:cat>
            <c:strRef>
              <c:f>Sheet1!$C$87:$G$87</c:f>
              <c:strCache>
                <c:ptCount val="5"/>
                <c:pt idx="0">
                  <c:v>2020</c:v>
                </c:pt>
                <c:pt idx="1">
                  <c:v>2021</c:v>
                </c:pt>
                <c:pt idx="2">
                  <c:v>2022</c:v>
                </c:pt>
                <c:pt idx="3">
                  <c:v>2023p</c:v>
                </c:pt>
                <c:pt idx="4">
                  <c:v>2024p</c:v>
                </c:pt>
              </c:strCache>
            </c:strRef>
          </c:cat>
          <c:val>
            <c:numRef>
              <c:f>Sheet1!$C$92:$G$92</c:f>
            </c:numRef>
          </c:val>
          <c:extLst>
            <c:ext xmlns:c16="http://schemas.microsoft.com/office/drawing/2014/chart" uri="{C3380CC4-5D6E-409C-BE32-E72D297353CC}">
              <c16:uniqueId val="{00000004-2EB1-4A9F-8DBA-C7CB1E4CFD66}"/>
            </c:ext>
          </c:extLst>
        </c:ser>
        <c:ser>
          <c:idx val="5"/>
          <c:order val="5"/>
          <c:tx>
            <c:strRef>
              <c:f>Sheet1!$A$93:$B$93</c:f>
              <c:strCache>
                <c:ptCount val="2"/>
                <c:pt idx="0">
                  <c:v>Eritrea</c:v>
                </c:pt>
                <c:pt idx="1">
                  <c:v>173.6</c:v>
                </c:pt>
              </c:strCache>
            </c:strRef>
          </c:tx>
          <c:spPr>
            <a:solidFill>
              <a:schemeClr val="accent6"/>
            </a:solidFill>
            <a:ln>
              <a:noFill/>
            </a:ln>
            <a:effectLst/>
            <a:sp3d/>
          </c:spPr>
          <c:invertIfNegative val="0"/>
          <c:cat>
            <c:strRef>
              <c:f>Sheet1!$C$87:$G$87</c:f>
              <c:strCache>
                <c:ptCount val="5"/>
                <c:pt idx="0">
                  <c:v>2020</c:v>
                </c:pt>
                <c:pt idx="1">
                  <c:v>2021</c:v>
                </c:pt>
                <c:pt idx="2">
                  <c:v>2022</c:v>
                </c:pt>
                <c:pt idx="3">
                  <c:v>2023p</c:v>
                </c:pt>
                <c:pt idx="4">
                  <c:v>2024p</c:v>
                </c:pt>
              </c:strCache>
            </c:strRef>
          </c:cat>
          <c:val>
            <c:numRef>
              <c:f>Sheet1!$C$93:$G$93</c:f>
            </c:numRef>
          </c:val>
          <c:extLst>
            <c:ext xmlns:c16="http://schemas.microsoft.com/office/drawing/2014/chart" uri="{C3380CC4-5D6E-409C-BE32-E72D297353CC}">
              <c16:uniqueId val="{00000005-2EB1-4A9F-8DBA-C7CB1E4CFD66}"/>
            </c:ext>
          </c:extLst>
        </c:ser>
        <c:ser>
          <c:idx val="6"/>
          <c:order val="6"/>
          <c:tx>
            <c:strRef>
              <c:f>Sheet1!$A$94:$B$94</c:f>
              <c:strCache>
                <c:ptCount val="2"/>
                <c:pt idx="0">
                  <c:v>Ethiopia</c:v>
                </c:pt>
                <c:pt idx="1">
                  <c:v>49.5</c:v>
                </c:pt>
              </c:strCache>
            </c:strRef>
          </c:tx>
          <c:spPr>
            <a:solidFill>
              <a:schemeClr val="accent1">
                <a:lumMod val="60000"/>
              </a:schemeClr>
            </a:solidFill>
            <a:ln>
              <a:noFill/>
            </a:ln>
            <a:effectLst/>
            <a:sp3d/>
          </c:spPr>
          <c:invertIfNegative val="0"/>
          <c:cat>
            <c:strRef>
              <c:f>Sheet1!$C$87:$G$87</c:f>
              <c:strCache>
                <c:ptCount val="5"/>
                <c:pt idx="0">
                  <c:v>2020</c:v>
                </c:pt>
                <c:pt idx="1">
                  <c:v>2021</c:v>
                </c:pt>
                <c:pt idx="2">
                  <c:v>2022</c:v>
                </c:pt>
                <c:pt idx="3">
                  <c:v>2023p</c:v>
                </c:pt>
                <c:pt idx="4">
                  <c:v>2024p</c:v>
                </c:pt>
              </c:strCache>
            </c:strRef>
          </c:cat>
          <c:val>
            <c:numRef>
              <c:f>Sheet1!$C$94:$G$94</c:f>
            </c:numRef>
          </c:val>
          <c:extLst>
            <c:ext xmlns:c16="http://schemas.microsoft.com/office/drawing/2014/chart" uri="{C3380CC4-5D6E-409C-BE32-E72D297353CC}">
              <c16:uniqueId val="{00000006-2EB1-4A9F-8DBA-C7CB1E4CFD66}"/>
            </c:ext>
          </c:extLst>
        </c:ser>
        <c:ser>
          <c:idx val="7"/>
          <c:order val="7"/>
          <c:tx>
            <c:strRef>
              <c:f>Sheet1!$A$95:$B$95</c:f>
              <c:strCache>
                <c:ptCount val="2"/>
                <c:pt idx="0">
                  <c:v>Eswatini</c:v>
                </c:pt>
                <c:pt idx="1">
                  <c:v>22.5</c:v>
                </c:pt>
              </c:strCache>
            </c:strRef>
          </c:tx>
          <c:spPr>
            <a:solidFill>
              <a:schemeClr val="accent2">
                <a:lumMod val="60000"/>
              </a:schemeClr>
            </a:solidFill>
            <a:ln>
              <a:noFill/>
            </a:ln>
            <a:effectLst/>
            <a:sp3d/>
          </c:spPr>
          <c:invertIfNegative val="0"/>
          <c:cat>
            <c:strRef>
              <c:f>Sheet1!$C$87:$G$87</c:f>
              <c:strCache>
                <c:ptCount val="5"/>
                <c:pt idx="0">
                  <c:v>2020</c:v>
                </c:pt>
                <c:pt idx="1">
                  <c:v>2021</c:v>
                </c:pt>
                <c:pt idx="2">
                  <c:v>2022</c:v>
                </c:pt>
                <c:pt idx="3">
                  <c:v>2023p</c:v>
                </c:pt>
                <c:pt idx="4">
                  <c:v>2024p</c:v>
                </c:pt>
              </c:strCache>
            </c:strRef>
          </c:cat>
          <c:val>
            <c:numRef>
              <c:f>Sheet1!$C$95:$G$95</c:f>
            </c:numRef>
          </c:val>
          <c:extLst>
            <c:ext xmlns:c16="http://schemas.microsoft.com/office/drawing/2014/chart" uri="{C3380CC4-5D6E-409C-BE32-E72D297353CC}">
              <c16:uniqueId val="{00000007-2EB1-4A9F-8DBA-C7CB1E4CFD66}"/>
            </c:ext>
          </c:extLst>
        </c:ser>
        <c:ser>
          <c:idx val="8"/>
          <c:order val="8"/>
          <c:tx>
            <c:strRef>
              <c:f>Sheet1!$A$96:$B$96</c:f>
              <c:strCache>
                <c:ptCount val="2"/>
                <c:pt idx="0">
                  <c:v>Libya</c:v>
                </c:pt>
              </c:strCache>
            </c:strRef>
          </c:tx>
          <c:spPr>
            <a:solidFill>
              <a:schemeClr val="accent3">
                <a:lumMod val="60000"/>
              </a:schemeClr>
            </a:solidFill>
            <a:ln>
              <a:noFill/>
            </a:ln>
            <a:effectLst/>
            <a:sp3d/>
          </c:spPr>
          <c:invertIfNegative val="0"/>
          <c:cat>
            <c:strRef>
              <c:f>Sheet1!$C$87:$G$87</c:f>
              <c:strCache>
                <c:ptCount val="5"/>
                <c:pt idx="0">
                  <c:v>2020</c:v>
                </c:pt>
                <c:pt idx="1">
                  <c:v>2021</c:v>
                </c:pt>
                <c:pt idx="2">
                  <c:v>2022</c:v>
                </c:pt>
                <c:pt idx="3">
                  <c:v>2023p</c:v>
                </c:pt>
                <c:pt idx="4">
                  <c:v>2024p</c:v>
                </c:pt>
              </c:strCache>
            </c:strRef>
          </c:cat>
          <c:val>
            <c:numRef>
              <c:f>Sheet1!$C$96:$G$96</c:f>
            </c:numRef>
          </c:val>
          <c:extLst>
            <c:ext xmlns:c16="http://schemas.microsoft.com/office/drawing/2014/chart" uri="{C3380CC4-5D6E-409C-BE32-E72D297353CC}">
              <c16:uniqueId val="{00000008-2EB1-4A9F-8DBA-C7CB1E4CFD66}"/>
            </c:ext>
          </c:extLst>
        </c:ser>
        <c:ser>
          <c:idx val="9"/>
          <c:order val="9"/>
          <c:tx>
            <c:strRef>
              <c:f>Sheet1!$A$97:$B$97</c:f>
              <c:strCache>
                <c:ptCount val="2"/>
                <c:pt idx="0">
                  <c:v>Kenya</c:v>
                </c:pt>
                <c:pt idx="1">
                  <c:v>46.7</c:v>
                </c:pt>
              </c:strCache>
            </c:strRef>
          </c:tx>
          <c:spPr>
            <a:solidFill>
              <a:schemeClr val="accent4">
                <a:lumMod val="60000"/>
              </a:schemeClr>
            </a:solidFill>
            <a:ln>
              <a:noFill/>
            </a:ln>
            <a:effectLst/>
            <a:sp3d/>
          </c:spPr>
          <c:invertIfNegative val="0"/>
          <c:cat>
            <c:strRef>
              <c:f>Sheet1!$C$87:$G$87</c:f>
              <c:strCache>
                <c:ptCount val="5"/>
                <c:pt idx="0">
                  <c:v>2020</c:v>
                </c:pt>
                <c:pt idx="1">
                  <c:v>2021</c:v>
                </c:pt>
                <c:pt idx="2">
                  <c:v>2022</c:v>
                </c:pt>
                <c:pt idx="3">
                  <c:v>2023p</c:v>
                </c:pt>
                <c:pt idx="4">
                  <c:v>2024p</c:v>
                </c:pt>
              </c:strCache>
            </c:strRef>
          </c:cat>
          <c:val>
            <c:numRef>
              <c:f>Sheet1!$C$97:$G$97</c:f>
            </c:numRef>
          </c:val>
          <c:extLst>
            <c:ext xmlns:c16="http://schemas.microsoft.com/office/drawing/2014/chart" uri="{C3380CC4-5D6E-409C-BE32-E72D297353CC}">
              <c16:uniqueId val="{00000009-2EB1-4A9F-8DBA-C7CB1E4CFD66}"/>
            </c:ext>
          </c:extLst>
        </c:ser>
        <c:ser>
          <c:idx val="10"/>
          <c:order val="10"/>
          <c:tx>
            <c:strRef>
              <c:f>Sheet1!$A$98:$B$98</c:f>
              <c:strCache>
                <c:ptCount val="2"/>
                <c:pt idx="0">
                  <c:v>Madagascar</c:v>
                </c:pt>
                <c:pt idx="1">
                  <c:v>38.1</c:v>
                </c:pt>
              </c:strCache>
            </c:strRef>
          </c:tx>
          <c:spPr>
            <a:solidFill>
              <a:schemeClr val="accent5">
                <a:lumMod val="60000"/>
              </a:schemeClr>
            </a:solidFill>
            <a:ln>
              <a:noFill/>
            </a:ln>
            <a:effectLst/>
            <a:sp3d/>
          </c:spPr>
          <c:invertIfNegative val="0"/>
          <c:cat>
            <c:strRef>
              <c:f>Sheet1!$C$87:$G$87</c:f>
              <c:strCache>
                <c:ptCount val="5"/>
                <c:pt idx="0">
                  <c:v>2020</c:v>
                </c:pt>
                <c:pt idx="1">
                  <c:v>2021</c:v>
                </c:pt>
                <c:pt idx="2">
                  <c:v>2022</c:v>
                </c:pt>
                <c:pt idx="3">
                  <c:v>2023p</c:v>
                </c:pt>
                <c:pt idx="4">
                  <c:v>2024p</c:v>
                </c:pt>
              </c:strCache>
            </c:strRef>
          </c:cat>
          <c:val>
            <c:numRef>
              <c:f>Sheet1!$C$98:$G$98</c:f>
            </c:numRef>
          </c:val>
          <c:extLst>
            <c:ext xmlns:c16="http://schemas.microsoft.com/office/drawing/2014/chart" uri="{C3380CC4-5D6E-409C-BE32-E72D297353CC}">
              <c16:uniqueId val="{0000000A-2EB1-4A9F-8DBA-C7CB1E4CFD66}"/>
            </c:ext>
          </c:extLst>
        </c:ser>
        <c:ser>
          <c:idx val="11"/>
          <c:order val="11"/>
          <c:tx>
            <c:strRef>
              <c:f>Sheet1!$A$99:$B$99</c:f>
              <c:strCache>
                <c:ptCount val="2"/>
                <c:pt idx="0">
                  <c:v>Malawi</c:v>
                </c:pt>
                <c:pt idx="1">
                  <c:v>35.5</c:v>
                </c:pt>
              </c:strCache>
            </c:strRef>
          </c:tx>
          <c:spPr>
            <a:solidFill>
              <a:schemeClr val="accent6">
                <a:lumMod val="60000"/>
              </a:schemeClr>
            </a:solidFill>
            <a:ln>
              <a:noFill/>
            </a:ln>
            <a:effectLst/>
            <a:sp3d/>
          </c:spPr>
          <c:invertIfNegative val="0"/>
          <c:cat>
            <c:strRef>
              <c:f>Sheet1!$C$87:$G$87</c:f>
              <c:strCache>
                <c:ptCount val="5"/>
                <c:pt idx="0">
                  <c:v>2020</c:v>
                </c:pt>
                <c:pt idx="1">
                  <c:v>2021</c:v>
                </c:pt>
                <c:pt idx="2">
                  <c:v>2022</c:v>
                </c:pt>
                <c:pt idx="3">
                  <c:v>2023p</c:v>
                </c:pt>
                <c:pt idx="4">
                  <c:v>2024p</c:v>
                </c:pt>
              </c:strCache>
            </c:strRef>
          </c:cat>
          <c:val>
            <c:numRef>
              <c:f>Sheet1!$C$99:$G$99</c:f>
            </c:numRef>
          </c:val>
          <c:extLst>
            <c:ext xmlns:c16="http://schemas.microsoft.com/office/drawing/2014/chart" uri="{C3380CC4-5D6E-409C-BE32-E72D297353CC}">
              <c16:uniqueId val="{0000000B-2EB1-4A9F-8DBA-C7CB1E4CFD66}"/>
            </c:ext>
          </c:extLst>
        </c:ser>
        <c:ser>
          <c:idx val="12"/>
          <c:order val="12"/>
          <c:tx>
            <c:strRef>
              <c:f>Sheet1!$A$100:$B$100</c:f>
              <c:strCache>
                <c:ptCount val="2"/>
                <c:pt idx="0">
                  <c:v>Mauritius</c:v>
                </c:pt>
                <c:pt idx="1">
                  <c:v>62.2</c:v>
                </c:pt>
              </c:strCache>
            </c:strRef>
          </c:tx>
          <c:spPr>
            <a:solidFill>
              <a:schemeClr val="accent1">
                <a:lumMod val="80000"/>
                <a:lumOff val="20000"/>
              </a:schemeClr>
            </a:solidFill>
            <a:ln>
              <a:noFill/>
            </a:ln>
            <a:effectLst/>
            <a:sp3d/>
          </c:spPr>
          <c:invertIfNegative val="0"/>
          <c:cat>
            <c:strRef>
              <c:f>Sheet1!$C$87:$G$87</c:f>
              <c:strCache>
                <c:ptCount val="5"/>
                <c:pt idx="0">
                  <c:v>2020</c:v>
                </c:pt>
                <c:pt idx="1">
                  <c:v>2021</c:v>
                </c:pt>
                <c:pt idx="2">
                  <c:v>2022</c:v>
                </c:pt>
                <c:pt idx="3">
                  <c:v>2023p</c:v>
                </c:pt>
                <c:pt idx="4">
                  <c:v>2024p</c:v>
                </c:pt>
              </c:strCache>
            </c:strRef>
          </c:cat>
          <c:val>
            <c:numRef>
              <c:f>Sheet1!$C$100:$G$100</c:f>
            </c:numRef>
          </c:val>
          <c:extLst>
            <c:ext xmlns:c16="http://schemas.microsoft.com/office/drawing/2014/chart" uri="{C3380CC4-5D6E-409C-BE32-E72D297353CC}">
              <c16:uniqueId val="{0000000C-2EB1-4A9F-8DBA-C7CB1E4CFD66}"/>
            </c:ext>
          </c:extLst>
        </c:ser>
        <c:ser>
          <c:idx val="13"/>
          <c:order val="13"/>
          <c:tx>
            <c:strRef>
              <c:f>Sheet1!$A$101:$B$101</c:f>
              <c:strCache>
                <c:ptCount val="2"/>
                <c:pt idx="0">
                  <c:v>Rwanda</c:v>
                </c:pt>
                <c:pt idx="1">
                  <c:v>33</c:v>
                </c:pt>
              </c:strCache>
            </c:strRef>
          </c:tx>
          <c:spPr>
            <a:solidFill>
              <a:schemeClr val="accent2">
                <a:lumMod val="80000"/>
                <a:lumOff val="20000"/>
              </a:schemeClr>
            </a:solidFill>
            <a:ln>
              <a:noFill/>
            </a:ln>
            <a:effectLst/>
            <a:sp3d/>
          </c:spPr>
          <c:invertIfNegative val="0"/>
          <c:cat>
            <c:strRef>
              <c:f>Sheet1!$C$87:$G$87</c:f>
              <c:strCache>
                <c:ptCount val="5"/>
                <c:pt idx="0">
                  <c:v>2020</c:v>
                </c:pt>
                <c:pt idx="1">
                  <c:v>2021</c:v>
                </c:pt>
                <c:pt idx="2">
                  <c:v>2022</c:v>
                </c:pt>
                <c:pt idx="3">
                  <c:v>2023p</c:v>
                </c:pt>
                <c:pt idx="4">
                  <c:v>2024p</c:v>
                </c:pt>
              </c:strCache>
            </c:strRef>
          </c:cat>
          <c:val>
            <c:numRef>
              <c:f>Sheet1!$C$101:$G$101</c:f>
            </c:numRef>
          </c:val>
          <c:extLst>
            <c:ext xmlns:c16="http://schemas.microsoft.com/office/drawing/2014/chart" uri="{C3380CC4-5D6E-409C-BE32-E72D297353CC}">
              <c16:uniqueId val="{0000000D-2EB1-4A9F-8DBA-C7CB1E4CFD66}"/>
            </c:ext>
          </c:extLst>
        </c:ser>
        <c:ser>
          <c:idx val="14"/>
          <c:order val="14"/>
          <c:tx>
            <c:strRef>
              <c:f>Sheet1!$A$102:$B$102</c:f>
              <c:strCache>
                <c:ptCount val="2"/>
                <c:pt idx="0">
                  <c:v>Seychelles</c:v>
                </c:pt>
                <c:pt idx="1">
                  <c:v>67</c:v>
                </c:pt>
              </c:strCache>
            </c:strRef>
          </c:tx>
          <c:spPr>
            <a:solidFill>
              <a:schemeClr val="accent3">
                <a:lumMod val="80000"/>
                <a:lumOff val="20000"/>
              </a:schemeClr>
            </a:solidFill>
            <a:ln>
              <a:noFill/>
            </a:ln>
            <a:effectLst/>
            <a:sp3d/>
          </c:spPr>
          <c:invertIfNegative val="0"/>
          <c:cat>
            <c:strRef>
              <c:f>Sheet1!$C$87:$G$87</c:f>
              <c:strCache>
                <c:ptCount val="5"/>
                <c:pt idx="0">
                  <c:v>2020</c:v>
                </c:pt>
                <c:pt idx="1">
                  <c:v>2021</c:v>
                </c:pt>
                <c:pt idx="2">
                  <c:v>2022</c:v>
                </c:pt>
                <c:pt idx="3">
                  <c:v>2023p</c:v>
                </c:pt>
                <c:pt idx="4">
                  <c:v>2024p</c:v>
                </c:pt>
              </c:strCache>
            </c:strRef>
          </c:cat>
          <c:val>
            <c:numRef>
              <c:f>Sheet1!$C$102:$G$102</c:f>
            </c:numRef>
          </c:val>
          <c:extLst>
            <c:ext xmlns:c16="http://schemas.microsoft.com/office/drawing/2014/chart" uri="{C3380CC4-5D6E-409C-BE32-E72D297353CC}">
              <c16:uniqueId val="{0000000E-2EB1-4A9F-8DBA-C7CB1E4CFD66}"/>
            </c:ext>
          </c:extLst>
        </c:ser>
        <c:ser>
          <c:idx val="15"/>
          <c:order val="15"/>
          <c:tx>
            <c:strRef>
              <c:f>Sheet1!$A$103:$B$103</c:f>
              <c:strCache>
                <c:ptCount val="2"/>
                <c:pt idx="0">
                  <c:v>Somalia</c:v>
                </c:pt>
              </c:strCache>
            </c:strRef>
          </c:tx>
          <c:spPr>
            <a:solidFill>
              <a:schemeClr val="accent4">
                <a:lumMod val="80000"/>
                <a:lumOff val="20000"/>
              </a:schemeClr>
            </a:solidFill>
            <a:ln>
              <a:noFill/>
            </a:ln>
            <a:effectLst/>
            <a:sp3d/>
          </c:spPr>
          <c:invertIfNegative val="0"/>
          <c:cat>
            <c:strRef>
              <c:f>Sheet1!$C$87:$G$87</c:f>
              <c:strCache>
                <c:ptCount val="5"/>
                <c:pt idx="0">
                  <c:v>2020</c:v>
                </c:pt>
                <c:pt idx="1">
                  <c:v>2021</c:v>
                </c:pt>
                <c:pt idx="2">
                  <c:v>2022</c:v>
                </c:pt>
                <c:pt idx="3">
                  <c:v>2023p</c:v>
                </c:pt>
                <c:pt idx="4">
                  <c:v>2024p</c:v>
                </c:pt>
              </c:strCache>
            </c:strRef>
          </c:cat>
          <c:val>
            <c:numRef>
              <c:f>Sheet1!$C$103:$G$103</c:f>
            </c:numRef>
          </c:val>
          <c:extLst>
            <c:ext xmlns:c16="http://schemas.microsoft.com/office/drawing/2014/chart" uri="{C3380CC4-5D6E-409C-BE32-E72D297353CC}">
              <c16:uniqueId val="{0000000F-2EB1-4A9F-8DBA-C7CB1E4CFD66}"/>
            </c:ext>
          </c:extLst>
        </c:ser>
        <c:ser>
          <c:idx val="16"/>
          <c:order val="16"/>
          <c:tx>
            <c:strRef>
              <c:f>Sheet1!$A$104:$B$104</c:f>
              <c:strCache>
                <c:ptCount val="2"/>
                <c:pt idx="0">
                  <c:v>Sudan</c:v>
                </c:pt>
                <c:pt idx="1">
                  <c:v>106.3</c:v>
                </c:pt>
              </c:strCache>
            </c:strRef>
          </c:tx>
          <c:spPr>
            <a:solidFill>
              <a:schemeClr val="accent5">
                <a:lumMod val="80000"/>
                <a:lumOff val="20000"/>
              </a:schemeClr>
            </a:solidFill>
            <a:ln>
              <a:noFill/>
            </a:ln>
            <a:effectLst/>
            <a:sp3d/>
          </c:spPr>
          <c:invertIfNegative val="0"/>
          <c:cat>
            <c:strRef>
              <c:f>Sheet1!$C$87:$G$87</c:f>
              <c:strCache>
                <c:ptCount val="5"/>
                <c:pt idx="0">
                  <c:v>2020</c:v>
                </c:pt>
                <c:pt idx="1">
                  <c:v>2021</c:v>
                </c:pt>
                <c:pt idx="2">
                  <c:v>2022</c:v>
                </c:pt>
                <c:pt idx="3">
                  <c:v>2023p</c:v>
                </c:pt>
                <c:pt idx="4">
                  <c:v>2024p</c:v>
                </c:pt>
              </c:strCache>
            </c:strRef>
          </c:cat>
          <c:val>
            <c:numRef>
              <c:f>Sheet1!$C$104:$G$104</c:f>
            </c:numRef>
          </c:val>
          <c:extLst>
            <c:ext xmlns:c16="http://schemas.microsoft.com/office/drawing/2014/chart" uri="{C3380CC4-5D6E-409C-BE32-E72D297353CC}">
              <c16:uniqueId val="{00000010-2EB1-4A9F-8DBA-C7CB1E4CFD66}"/>
            </c:ext>
          </c:extLst>
        </c:ser>
        <c:ser>
          <c:idx val="17"/>
          <c:order val="17"/>
          <c:tx>
            <c:strRef>
              <c:f>Sheet1!$A$105:$B$105</c:f>
              <c:strCache>
                <c:ptCount val="2"/>
                <c:pt idx="0">
                  <c:v>Tunisia</c:v>
                </c:pt>
                <c:pt idx="1">
                  <c:v>52.8</c:v>
                </c:pt>
              </c:strCache>
            </c:strRef>
          </c:tx>
          <c:spPr>
            <a:solidFill>
              <a:schemeClr val="accent6">
                <a:lumMod val="80000"/>
                <a:lumOff val="20000"/>
              </a:schemeClr>
            </a:solidFill>
            <a:ln>
              <a:noFill/>
            </a:ln>
            <a:effectLst/>
            <a:sp3d/>
          </c:spPr>
          <c:invertIfNegative val="0"/>
          <c:cat>
            <c:strRef>
              <c:f>Sheet1!$C$87:$G$87</c:f>
              <c:strCache>
                <c:ptCount val="5"/>
                <c:pt idx="0">
                  <c:v>2020</c:v>
                </c:pt>
                <c:pt idx="1">
                  <c:v>2021</c:v>
                </c:pt>
                <c:pt idx="2">
                  <c:v>2022</c:v>
                </c:pt>
                <c:pt idx="3">
                  <c:v>2023p</c:v>
                </c:pt>
                <c:pt idx="4">
                  <c:v>2024p</c:v>
                </c:pt>
              </c:strCache>
            </c:strRef>
          </c:cat>
          <c:val>
            <c:numRef>
              <c:f>Sheet1!$C$105:$G$105</c:f>
            </c:numRef>
          </c:val>
          <c:extLst>
            <c:ext xmlns:c16="http://schemas.microsoft.com/office/drawing/2014/chart" uri="{C3380CC4-5D6E-409C-BE32-E72D297353CC}">
              <c16:uniqueId val="{00000011-2EB1-4A9F-8DBA-C7CB1E4CFD66}"/>
            </c:ext>
          </c:extLst>
        </c:ser>
        <c:ser>
          <c:idx val="18"/>
          <c:order val="18"/>
          <c:tx>
            <c:strRef>
              <c:f>Sheet1!$A$106:$B$106</c:f>
              <c:strCache>
                <c:ptCount val="2"/>
                <c:pt idx="0">
                  <c:v>Uganda</c:v>
                </c:pt>
                <c:pt idx="1">
                  <c:v>27.8</c:v>
                </c:pt>
              </c:strCache>
            </c:strRef>
          </c:tx>
          <c:spPr>
            <a:solidFill>
              <a:schemeClr val="accent1">
                <a:lumMod val="80000"/>
              </a:schemeClr>
            </a:solidFill>
            <a:ln>
              <a:noFill/>
            </a:ln>
            <a:effectLst/>
            <a:sp3d/>
          </c:spPr>
          <c:invertIfNegative val="0"/>
          <c:cat>
            <c:strRef>
              <c:f>Sheet1!$C$87:$G$87</c:f>
              <c:strCache>
                <c:ptCount val="5"/>
                <c:pt idx="0">
                  <c:v>2020</c:v>
                </c:pt>
                <c:pt idx="1">
                  <c:v>2021</c:v>
                </c:pt>
                <c:pt idx="2">
                  <c:v>2022</c:v>
                </c:pt>
                <c:pt idx="3">
                  <c:v>2023p</c:v>
                </c:pt>
                <c:pt idx="4">
                  <c:v>2024p</c:v>
                </c:pt>
              </c:strCache>
            </c:strRef>
          </c:cat>
          <c:val>
            <c:numRef>
              <c:f>Sheet1!$C$106:$G$106</c:f>
            </c:numRef>
          </c:val>
          <c:extLst>
            <c:ext xmlns:c16="http://schemas.microsoft.com/office/drawing/2014/chart" uri="{C3380CC4-5D6E-409C-BE32-E72D297353CC}">
              <c16:uniqueId val="{00000012-2EB1-4A9F-8DBA-C7CB1E4CFD66}"/>
            </c:ext>
          </c:extLst>
        </c:ser>
        <c:ser>
          <c:idx val="19"/>
          <c:order val="19"/>
          <c:tx>
            <c:strRef>
              <c:f>Sheet1!$A$107:$B$107</c:f>
              <c:strCache>
                <c:ptCount val="2"/>
                <c:pt idx="0">
                  <c:v>Zambia</c:v>
                </c:pt>
                <c:pt idx="1">
                  <c:v>50.9</c:v>
                </c:pt>
              </c:strCache>
            </c:strRef>
          </c:tx>
          <c:spPr>
            <a:solidFill>
              <a:schemeClr val="accent2">
                <a:lumMod val="80000"/>
              </a:schemeClr>
            </a:solidFill>
            <a:ln>
              <a:noFill/>
            </a:ln>
            <a:effectLst/>
            <a:sp3d/>
          </c:spPr>
          <c:invertIfNegative val="0"/>
          <c:cat>
            <c:strRef>
              <c:f>Sheet1!$C$87:$G$87</c:f>
              <c:strCache>
                <c:ptCount val="5"/>
                <c:pt idx="0">
                  <c:v>2020</c:v>
                </c:pt>
                <c:pt idx="1">
                  <c:v>2021</c:v>
                </c:pt>
                <c:pt idx="2">
                  <c:v>2022</c:v>
                </c:pt>
                <c:pt idx="3">
                  <c:v>2023p</c:v>
                </c:pt>
                <c:pt idx="4">
                  <c:v>2024p</c:v>
                </c:pt>
              </c:strCache>
            </c:strRef>
          </c:cat>
          <c:val>
            <c:numRef>
              <c:f>Sheet1!$C$107:$G$107</c:f>
            </c:numRef>
          </c:val>
          <c:extLst>
            <c:ext xmlns:c16="http://schemas.microsoft.com/office/drawing/2014/chart" uri="{C3380CC4-5D6E-409C-BE32-E72D297353CC}">
              <c16:uniqueId val="{00000013-2EB1-4A9F-8DBA-C7CB1E4CFD66}"/>
            </c:ext>
          </c:extLst>
        </c:ser>
        <c:ser>
          <c:idx val="20"/>
          <c:order val="20"/>
          <c:tx>
            <c:strRef>
              <c:f>Sheet1!$A$108:$B$108</c:f>
              <c:strCache>
                <c:ptCount val="2"/>
                <c:pt idx="0">
                  <c:v>Zimbabwe</c:v>
                </c:pt>
                <c:pt idx="1">
                  <c:v>51.8</c:v>
                </c:pt>
              </c:strCache>
            </c:strRef>
          </c:tx>
          <c:spPr>
            <a:solidFill>
              <a:schemeClr val="accent3">
                <a:lumMod val="80000"/>
              </a:schemeClr>
            </a:solidFill>
            <a:ln>
              <a:noFill/>
            </a:ln>
            <a:effectLst/>
            <a:sp3d/>
          </c:spPr>
          <c:invertIfNegative val="0"/>
          <c:cat>
            <c:strRef>
              <c:f>Sheet1!$C$87:$G$87</c:f>
              <c:strCache>
                <c:ptCount val="5"/>
                <c:pt idx="0">
                  <c:v>2020</c:v>
                </c:pt>
                <c:pt idx="1">
                  <c:v>2021</c:v>
                </c:pt>
                <c:pt idx="2">
                  <c:v>2022</c:v>
                </c:pt>
                <c:pt idx="3">
                  <c:v>2023p</c:v>
                </c:pt>
                <c:pt idx="4">
                  <c:v>2024p</c:v>
                </c:pt>
              </c:strCache>
            </c:strRef>
          </c:cat>
          <c:val>
            <c:numRef>
              <c:f>Sheet1!$C$108:$G$108</c:f>
            </c:numRef>
          </c:val>
          <c:extLst>
            <c:ext xmlns:c16="http://schemas.microsoft.com/office/drawing/2014/chart" uri="{C3380CC4-5D6E-409C-BE32-E72D297353CC}">
              <c16:uniqueId val="{00000014-2EB1-4A9F-8DBA-C7CB1E4CFD66}"/>
            </c:ext>
          </c:extLst>
        </c:ser>
        <c:ser>
          <c:idx val="21"/>
          <c:order val="21"/>
          <c:tx>
            <c:strRef>
              <c:f>Sheet1!$A$109:$B$109</c:f>
              <c:strCache>
                <c:ptCount val="2"/>
                <c:pt idx="0">
                  <c:v>COMESA </c:v>
                </c:pt>
                <c:pt idx="1">
                  <c:v>42.1</c:v>
                </c:pt>
              </c:strCache>
            </c:strRef>
          </c:tx>
          <c:spPr>
            <a:solidFill>
              <a:schemeClr val="accent4">
                <a:lumMod val="80000"/>
              </a:schemeClr>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Sheet1!$C$87:$G$87</c:f>
              <c:strCache>
                <c:ptCount val="5"/>
                <c:pt idx="0">
                  <c:v>2020</c:v>
                </c:pt>
                <c:pt idx="1">
                  <c:v>2021</c:v>
                </c:pt>
                <c:pt idx="2">
                  <c:v>2022</c:v>
                </c:pt>
                <c:pt idx="3">
                  <c:v>2023p</c:v>
                </c:pt>
                <c:pt idx="4">
                  <c:v>2024p</c:v>
                </c:pt>
              </c:strCache>
            </c:strRef>
          </c:cat>
          <c:val>
            <c:numRef>
              <c:f>Sheet1!$C$109:$G$109</c:f>
              <c:numCache>
                <c:formatCode>General</c:formatCode>
                <c:ptCount val="5"/>
                <c:pt idx="0">
                  <c:v>60.4</c:v>
                </c:pt>
                <c:pt idx="1">
                  <c:v>57.4</c:v>
                </c:pt>
                <c:pt idx="2">
                  <c:v>57.6</c:v>
                </c:pt>
                <c:pt idx="3">
                  <c:v>52.7</c:v>
                </c:pt>
                <c:pt idx="4">
                  <c:v>48.9</c:v>
                </c:pt>
              </c:numCache>
            </c:numRef>
          </c:val>
          <c:extLst>
            <c:ext xmlns:c16="http://schemas.microsoft.com/office/drawing/2014/chart" uri="{C3380CC4-5D6E-409C-BE32-E72D297353CC}">
              <c16:uniqueId val="{00000015-2EB1-4A9F-8DBA-C7CB1E4CFD66}"/>
            </c:ext>
          </c:extLst>
        </c:ser>
        <c:dLbls>
          <c:showLegendKey val="0"/>
          <c:showVal val="0"/>
          <c:showCatName val="0"/>
          <c:showSerName val="0"/>
          <c:showPercent val="0"/>
          <c:showBubbleSize val="0"/>
        </c:dLbls>
        <c:gapWidth val="150"/>
        <c:shape val="box"/>
        <c:axId val="263775103"/>
        <c:axId val="263773439"/>
        <c:axId val="288683935"/>
      </c:bar3DChart>
      <c:catAx>
        <c:axId val="263775103"/>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63773439"/>
        <c:crosses val="autoZero"/>
        <c:auto val="1"/>
        <c:lblAlgn val="ctr"/>
        <c:lblOffset val="100"/>
        <c:noMultiLvlLbl val="0"/>
      </c:catAx>
      <c:valAx>
        <c:axId val="263773439"/>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63775103"/>
        <c:crosses val="autoZero"/>
        <c:crossBetween val="between"/>
      </c:valAx>
      <c:serAx>
        <c:axId val="288683935"/>
        <c:scaling>
          <c:orientation val="minMax"/>
        </c:scaling>
        <c:delete val="1"/>
        <c:axPos val="b"/>
        <c:majorTickMark val="out"/>
        <c:minorTickMark val="none"/>
        <c:tickLblPos val="nextTo"/>
        <c:crossAx val="263773439"/>
        <c:crosses val="autoZero"/>
      </c:ser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barChart>
        <c:barDir val="col"/>
        <c:grouping val="clustered"/>
        <c:varyColors val="0"/>
        <c:ser>
          <c:idx val="0"/>
          <c:order val="0"/>
          <c:tx>
            <c:strRef>
              <c:f>Sheet1!$A$115:$B$115</c:f>
              <c:strCache>
                <c:ptCount val="2"/>
                <c:pt idx="0">
                  <c:v>Burundi</c:v>
                </c:pt>
                <c:pt idx="1">
                  <c:v>-14.1</c:v>
                </c:pt>
              </c:strCache>
            </c:strRef>
          </c:tx>
          <c:spPr>
            <a:gradFill>
              <a:gsLst>
                <a:gs pos="0">
                  <a:schemeClr val="accent1">
                    <a:shade val="36000"/>
                  </a:schemeClr>
                </a:gs>
                <a:gs pos="100000">
                  <a:schemeClr val="accent1">
                    <a:shade val="36000"/>
                    <a:lumMod val="84000"/>
                  </a:schemeClr>
                </a:gs>
              </a:gsLst>
              <a:lin ang="5400000" scaled="1"/>
            </a:gradFill>
            <a:ln>
              <a:noFill/>
            </a:ln>
            <a:effectLst>
              <a:outerShdw blurRad="76200" dir="18900000" sy="23000" kx="-1200000" algn="bl" rotWithShape="0">
                <a:prstClr val="black">
                  <a:alpha val="20000"/>
                </a:prst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Sheet1!$C$114:$G$114</c:f>
              <c:strCache>
                <c:ptCount val="5"/>
                <c:pt idx="0">
                  <c:v>2020</c:v>
                </c:pt>
                <c:pt idx="1">
                  <c:v>2021</c:v>
                </c:pt>
                <c:pt idx="2">
                  <c:v>2022</c:v>
                </c:pt>
                <c:pt idx="3">
                  <c:v>2023p</c:v>
                </c:pt>
                <c:pt idx="4">
                  <c:v>2024p</c:v>
                </c:pt>
              </c:strCache>
            </c:strRef>
          </c:cat>
          <c:val>
            <c:numRef>
              <c:f>Sheet1!$C$115:$G$115</c:f>
            </c:numRef>
          </c:val>
          <c:extLst>
            <c:ext xmlns:c16="http://schemas.microsoft.com/office/drawing/2014/chart" uri="{C3380CC4-5D6E-409C-BE32-E72D297353CC}">
              <c16:uniqueId val="{00000000-E0CE-4C9A-98D3-3177E964D5A3}"/>
            </c:ext>
          </c:extLst>
        </c:ser>
        <c:ser>
          <c:idx val="1"/>
          <c:order val="1"/>
          <c:tx>
            <c:strRef>
              <c:f>Sheet1!$A$116:$B$116</c:f>
              <c:strCache>
                <c:ptCount val="2"/>
                <c:pt idx="0">
                  <c:v>Comoros</c:v>
                </c:pt>
                <c:pt idx="1">
                  <c:v>-3.1</c:v>
                </c:pt>
              </c:strCache>
            </c:strRef>
          </c:tx>
          <c:spPr>
            <a:gradFill>
              <a:gsLst>
                <a:gs pos="0">
                  <a:schemeClr val="accent1">
                    <a:shade val="42000"/>
                  </a:schemeClr>
                </a:gs>
                <a:gs pos="100000">
                  <a:schemeClr val="accent1">
                    <a:shade val="42000"/>
                    <a:lumMod val="84000"/>
                  </a:schemeClr>
                </a:gs>
              </a:gsLst>
              <a:lin ang="5400000" scaled="1"/>
            </a:gradFill>
            <a:ln>
              <a:noFill/>
            </a:ln>
            <a:effectLst>
              <a:outerShdw blurRad="76200" dir="18900000" sy="23000" kx="-1200000" algn="bl" rotWithShape="0">
                <a:prstClr val="black">
                  <a:alpha val="20000"/>
                </a:prst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Sheet1!$C$114:$G$114</c:f>
              <c:strCache>
                <c:ptCount val="5"/>
                <c:pt idx="0">
                  <c:v>2020</c:v>
                </c:pt>
                <c:pt idx="1">
                  <c:v>2021</c:v>
                </c:pt>
                <c:pt idx="2">
                  <c:v>2022</c:v>
                </c:pt>
                <c:pt idx="3">
                  <c:v>2023p</c:v>
                </c:pt>
                <c:pt idx="4">
                  <c:v>2024p</c:v>
                </c:pt>
              </c:strCache>
            </c:strRef>
          </c:cat>
          <c:val>
            <c:numRef>
              <c:f>Sheet1!$C$116:$G$116</c:f>
            </c:numRef>
          </c:val>
          <c:extLst>
            <c:ext xmlns:c16="http://schemas.microsoft.com/office/drawing/2014/chart" uri="{C3380CC4-5D6E-409C-BE32-E72D297353CC}">
              <c16:uniqueId val="{00000001-E0CE-4C9A-98D3-3177E964D5A3}"/>
            </c:ext>
          </c:extLst>
        </c:ser>
        <c:ser>
          <c:idx val="2"/>
          <c:order val="2"/>
          <c:tx>
            <c:strRef>
              <c:f>Sheet1!$A$117:$B$117</c:f>
              <c:strCache>
                <c:ptCount val="2"/>
                <c:pt idx="0">
                  <c:v>Congo, Dem. Rep.</c:v>
                </c:pt>
                <c:pt idx="1">
                  <c:v>-4.4</c:v>
                </c:pt>
              </c:strCache>
            </c:strRef>
          </c:tx>
          <c:spPr>
            <a:gradFill>
              <a:gsLst>
                <a:gs pos="0">
                  <a:schemeClr val="accent1">
                    <a:shade val="48000"/>
                  </a:schemeClr>
                </a:gs>
                <a:gs pos="100000">
                  <a:schemeClr val="accent1">
                    <a:shade val="48000"/>
                    <a:lumMod val="84000"/>
                  </a:schemeClr>
                </a:gs>
              </a:gsLst>
              <a:lin ang="5400000" scaled="1"/>
            </a:gradFill>
            <a:ln>
              <a:noFill/>
            </a:ln>
            <a:effectLst>
              <a:outerShdw blurRad="76200" dir="18900000" sy="23000" kx="-1200000" algn="bl" rotWithShape="0">
                <a:prstClr val="black">
                  <a:alpha val="20000"/>
                </a:prst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Sheet1!$C$114:$G$114</c:f>
              <c:strCache>
                <c:ptCount val="5"/>
                <c:pt idx="0">
                  <c:v>2020</c:v>
                </c:pt>
                <c:pt idx="1">
                  <c:v>2021</c:v>
                </c:pt>
                <c:pt idx="2">
                  <c:v>2022</c:v>
                </c:pt>
                <c:pt idx="3">
                  <c:v>2023p</c:v>
                </c:pt>
                <c:pt idx="4">
                  <c:v>2024p</c:v>
                </c:pt>
              </c:strCache>
            </c:strRef>
          </c:cat>
          <c:val>
            <c:numRef>
              <c:f>Sheet1!$C$117:$G$117</c:f>
            </c:numRef>
          </c:val>
          <c:extLst>
            <c:ext xmlns:c16="http://schemas.microsoft.com/office/drawing/2014/chart" uri="{C3380CC4-5D6E-409C-BE32-E72D297353CC}">
              <c16:uniqueId val="{00000002-E0CE-4C9A-98D3-3177E964D5A3}"/>
            </c:ext>
          </c:extLst>
        </c:ser>
        <c:ser>
          <c:idx val="3"/>
          <c:order val="3"/>
          <c:tx>
            <c:strRef>
              <c:f>Sheet1!$A$118:$B$118</c:f>
              <c:strCache>
                <c:ptCount val="2"/>
                <c:pt idx="0">
                  <c:v>Djibouti</c:v>
                </c:pt>
              </c:strCache>
            </c:strRef>
          </c:tx>
          <c:spPr>
            <a:gradFill>
              <a:gsLst>
                <a:gs pos="0">
                  <a:schemeClr val="accent1">
                    <a:shade val="54000"/>
                  </a:schemeClr>
                </a:gs>
                <a:gs pos="100000">
                  <a:schemeClr val="accent1">
                    <a:shade val="54000"/>
                    <a:lumMod val="84000"/>
                  </a:schemeClr>
                </a:gs>
              </a:gsLst>
              <a:lin ang="5400000" scaled="1"/>
            </a:gradFill>
            <a:ln>
              <a:noFill/>
            </a:ln>
            <a:effectLst>
              <a:outerShdw blurRad="76200" dir="18900000" sy="23000" kx="-1200000" algn="bl" rotWithShape="0">
                <a:prstClr val="black">
                  <a:alpha val="20000"/>
                </a:prst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Sheet1!$C$114:$G$114</c:f>
              <c:strCache>
                <c:ptCount val="5"/>
                <c:pt idx="0">
                  <c:v>2020</c:v>
                </c:pt>
                <c:pt idx="1">
                  <c:v>2021</c:v>
                </c:pt>
                <c:pt idx="2">
                  <c:v>2022</c:v>
                </c:pt>
                <c:pt idx="3">
                  <c:v>2023p</c:v>
                </c:pt>
                <c:pt idx="4">
                  <c:v>2024p</c:v>
                </c:pt>
              </c:strCache>
            </c:strRef>
          </c:cat>
          <c:val>
            <c:numRef>
              <c:f>Sheet1!$C$118:$G$118</c:f>
            </c:numRef>
          </c:val>
          <c:extLst>
            <c:ext xmlns:c16="http://schemas.microsoft.com/office/drawing/2014/chart" uri="{C3380CC4-5D6E-409C-BE32-E72D297353CC}">
              <c16:uniqueId val="{00000003-E0CE-4C9A-98D3-3177E964D5A3}"/>
            </c:ext>
          </c:extLst>
        </c:ser>
        <c:ser>
          <c:idx val="4"/>
          <c:order val="4"/>
          <c:tx>
            <c:strRef>
              <c:f>Sheet1!$A$119:$B$119</c:f>
              <c:strCache>
                <c:ptCount val="2"/>
                <c:pt idx="0">
                  <c:v>Egypt, Arab Rep.</c:v>
                </c:pt>
                <c:pt idx="1">
                  <c:v>-1</c:v>
                </c:pt>
              </c:strCache>
            </c:strRef>
          </c:tx>
          <c:spPr>
            <a:gradFill>
              <a:gsLst>
                <a:gs pos="0">
                  <a:schemeClr val="accent1">
                    <a:shade val="60000"/>
                  </a:schemeClr>
                </a:gs>
                <a:gs pos="100000">
                  <a:schemeClr val="accent1">
                    <a:shade val="60000"/>
                    <a:lumMod val="84000"/>
                  </a:schemeClr>
                </a:gs>
              </a:gsLst>
              <a:lin ang="5400000" scaled="1"/>
            </a:gradFill>
            <a:ln>
              <a:noFill/>
            </a:ln>
            <a:effectLst>
              <a:outerShdw blurRad="76200" dir="18900000" sy="23000" kx="-1200000" algn="bl" rotWithShape="0">
                <a:prstClr val="black">
                  <a:alpha val="20000"/>
                </a:prst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Sheet1!$C$114:$G$114</c:f>
              <c:strCache>
                <c:ptCount val="5"/>
                <c:pt idx="0">
                  <c:v>2020</c:v>
                </c:pt>
                <c:pt idx="1">
                  <c:v>2021</c:v>
                </c:pt>
                <c:pt idx="2">
                  <c:v>2022</c:v>
                </c:pt>
                <c:pt idx="3">
                  <c:v>2023p</c:v>
                </c:pt>
                <c:pt idx="4">
                  <c:v>2024p</c:v>
                </c:pt>
              </c:strCache>
            </c:strRef>
          </c:cat>
          <c:val>
            <c:numRef>
              <c:f>Sheet1!$C$119:$G$119</c:f>
            </c:numRef>
          </c:val>
          <c:extLst>
            <c:ext xmlns:c16="http://schemas.microsoft.com/office/drawing/2014/chart" uri="{C3380CC4-5D6E-409C-BE32-E72D297353CC}">
              <c16:uniqueId val="{00000004-E0CE-4C9A-98D3-3177E964D5A3}"/>
            </c:ext>
          </c:extLst>
        </c:ser>
        <c:ser>
          <c:idx val="5"/>
          <c:order val="5"/>
          <c:tx>
            <c:strRef>
              <c:f>Sheet1!$A$120:$B$120</c:f>
              <c:strCache>
                <c:ptCount val="2"/>
                <c:pt idx="0">
                  <c:v>Eritrea</c:v>
                </c:pt>
                <c:pt idx="1">
                  <c:v>14.9</c:v>
                </c:pt>
              </c:strCache>
            </c:strRef>
          </c:tx>
          <c:spPr>
            <a:gradFill>
              <a:gsLst>
                <a:gs pos="0">
                  <a:schemeClr val="accent1">
                    <a:shade val="66000"/>
                  </a:schemeClr>
                </a:gs>
                <a:gs pos="100000">
                  <a:schemeClr val="accent1">
                    <a:shade val="66000"/>
                    <a:lumMod val="84000"/>
                  </a:schemeClr>
                </a:gs>
              </a:gsLst>
              <a:lin ang="5400000" scaled="1"/>
            </a:gradFill>
            <a:ln>
              <a:noFill/>
            </a:ln>
            <a:effectLst>
              <a:outerShdw blurRad="76200" dir="18900000" sy="23000" kx="-1200000" algn="bl" rotWithShape="0">
                <a:prstClr val="black">
                  <a:alpha val="20000"/>
                </a:prst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Sheet1!$C$114:$G$114</c:f>
              <c:strCache>
                <c:ptCount val="5"/>
                <c:pt idx="0">
                  <c:v>2020</c:v>
                </c:pt>
                <c:pt idx="1">
                  <c:v>2021</c:v>
                </c:pt>
                <c:pt idx="2">
                  <c:v>2022</c:v>
                </c:pt>
                <c:pt idx="3">
                  <c:v>2023p</c:v>
                </c:pt>
                <c:pt idx="4">
                  <c:v>2024p</c:v>
                </c:pt>
              </c:strCache>
            </c:strRef>
          </c:cat>
          <c:val>
            <c:numRef>
              <c:f>Sheet1!$C$120:$G$120</c:f>
            </c:numRef>
          </c:val>
          <c:extLst>
            <c:ext xmlns:c16="http://schemas.microsoft.com/office/drawing/2014/chart" uri="{C3380CC4-5D6E-409C-BE32-E72D297353CC}">
              <c16:uniqueId val="{00000005-E0CE-4C9A-98D3-3177E964D5A3}"/>
            </c:ext>
          </c:extLst>
        </c:ser>
        <c:ser>
          <c:idx val="6"/>
          <c:order val="6"/>
          <c:tx>
            <c:strRef>
              <c:f>Sheet1!$A$121:$B$121</c:f>
              <c:strCache>
                <c:ptCount val="2"/>
                <c:pt idx="0">
                  <c:v>Ethiopia</c:v>
                </c:pt>
                <c:pt idx="1">
                  <c:v>-7.1</c:v>
                </c:pt>
              </c:strCache>
            </c:strRef>
          </c:tx>
          <c:spPr>
            <a:gradFill>
              <a:gsLst>
                <a:gs pos="0">
                  <a:schemeClr val="accent1">
                    <a:shade val="72000"/>
                  </a:schemeClr>
                </a:gs>
                <a:gs pos="100000">
                  <a:schemeClr val="accent1">
                    <a:shade val="72000"/>
                    <a:lumMod val="84000"/>
                  </a:schemeClr>
                </a:gs>
              </a:gsLst>
              <a:lin ang="5400000" scaled="1"/>
            </a:gradFill>
            <a:ln>
              <a:noFill/>
            </a:ln>
            <a:effectLst>
              <a:outerShdw blurRad="76200" dir="18900000" sy="23000" kx="-1200000" algn="bl" rotWithShape="0">
                <a:prstClr val="black">
                  <a:alpha val="20000"/>
                </a:prst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Sheet1!$C$114:$G$114</c:f>
              <c:strCache>
                <c:ptCount val="5"/>
                <c:pt idx="0">
                  <c:v>2020</c:v>
                </c:pt>
                <c:pt idx="1">
                  <c:v>2021</c:v>
                </c:pt>
                <c:pt idx="2">
                  <c:v>2022</c:v>
                </c:pt>
                <c:pt idx="3">
                  <c:v>2023p</c:v>
                </c:pt>
                <c:pt idx="4">
                  <c:v>2024p</c:v>
                </c:pt>
              </c:strCache>
            </c:strRef>
          </c:cat>
          <c:val>
            <c:numRef>
              <c:f>Sheet1!$C$121:$G$121</c:f>
            </c:numRef>
          </c:val>
          <c:extLst>
            <c:ext xmlns:c16="http://schemas.microsoft.com/office/drawing/2014/chart" uri="{C3380CC4-5D6E-409C-BE32-E72D297353CC}">
              <c16:uniqueId val="{00000006-E0CE-4C9A-98D3-3177E964D5A3}"/>
            </c:ext>
          </c:extLst>
        </c:ser>
        <c:ser>
          <c:idx val="7"/>
          <c:order val="7"/>
          <c:tx>
            <c:strRef>
              <c:f>Sheet1!$A$122:$B$122</c:f>
              <c:strCache>
                <c:ptCount val="2"/>
                <c:pt idx="0">
                  <c:v>Eswatini</c:v>
                </c:pt>
                <c:pt idx="1">
                  <c:v>6</c:v>
                </c:pt>
              </c:strCache>
            </c:strRef>
          </c:tx>
          <c:spPr>
            <a:gradFill>
              <a:gsLst>
                <a:gs pos="0">
                  <a:schemeClr val="accent1">
                    <a:shade val="78000"/>
                  </a:schemeClr>
                </a:gs>
                <a:gs pos="100000">
                  <a:schemeClr val="accent1">
                    <a:shade val="78000"/>
                    <a:lumMod val="84000"/>
                  </a:schemeClr>
                </a:gs>
              </a:gsLst>
              <a:lin ang="5400000" scaled="1"/>
            </a:gradFill>
            <a:ln>
              <a:noFill/>
            </a:ln>
            <a:effectLst>
              <a:outerShdw blurRad="76200" dir="18900000" sy="23000" kx="-1200000" algn="bl" rotWithShape="0">
                <a:prstClr val="black">
                  <a:alpha val="20000"/>
                </a:prst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Sheet1!$C$114:$G$114</c:f>
              <c:strCache>
                <c:ptCount val="5"/>
                <c:pt idx="0">
                  <c:v>2020</c:v>
                </c:pt>
                <c:pt idx="1">
                  <c:v>2021</c:v>
                </c:pt>
                <c:pt idx="2">
                  <c:v>2022</c:v>
                </c:pt>
                <c:pt idx="3">
                  <c:v>2023p</c:v>
                </c:pt>
                <c:pt idx="4">
                  <c:v>2024p</c:v>
                </c:pt>
              </c:strCache>
            </c:strRef>
          </c:cat>
          <c:val>
            <c:numRef>
              <c:f>Sheet1!$C$122:$G$122</c:f>
            </c:numRef>
          </c:val>
          <c:extLst>
            <c:ext xmlns:c16="http://schemas.microsoft.com/office/drawing/2014/chart" uri="{C3380CC4-5D6E-409C-BE32-E72D297353CC}">
              <c16:uniqueId val="{00000007-E0CE-4C9A-98D3-3177E964D5A3}"/>
            </c:ext>
          </c:extLst>
        </c:ser>
        <c:ser>
          <c:idx val="8"/>
          <c:order val="8"/>
          <c:tx>
            <c:strRef>
              <c:f>Sheet1!$A$123:$B$123</c:f>
              <c:strCache>
                <c:ptCount val="2"/>
                <c:pt idx="0">
                  <c:v>Libya</c:v>
                </c:pt>
                <c:pt idx="1">
                  <c:v>11.4</c:v>
                </c:pt>
              </c:strCache>
            </c:strRef>
          </c:tx>
          <c:spPr>
            <a:gradFill>
              <a:gsLst>
                <a:gs pos="0">
                  <a:schemeClr val="accent1">
                    <a:shade val="84000"/>
                  </a:schemeClr>
                </a:gs>
                <a:gs pos="100000">
                  <a:schemeClr val="accent1">
                    <a:shade val="84000"/>
                    <a:lumMod val="84000"/>
                  </a:schemeClr>
                </a:gs>
              </a:gsLst>
              <a:lin ang="5400000" scaled="1"/>
            </a:gradFill>
            <a:ln>
              <a:noFill/>
            </a:ln>
            <a:effectLst>
              <a:outerShdw blurRad="76200" dir="18900000" sy="23000" kx="-1200000" algn="bl" rotWithShape="0">
                <a:prstClr val="black">
                  <a:alpha val="20000"/>
                </a:prst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Sheet1!$C$114:$G$114</c:f>
              <c:strCache>
                <c:ptCount val="5"/>
                <c:pt idx="0">
                  <c:v>2020</c:v>
                </c:pt>
                <c:pt idx="1">
                  <c:v>2021</c:v>
                </c:pt>
                <c:pt idx="2">
                  <c:v>2022</c:v>
                </c:pt>
                <c:pt idx="3">
                  <c:v>2023p</c:v>
                </c:pt>
                <c:pt idx="4">
                  <c:v>2024p</c:v>
                </c:pt>
              </c:strCache>
            </c:strRef>
          </c:cat>
          <c:val>
            <c:numRef>
              <c:f>Sheet1!$C$123:$G$123</c:f>
            </c:numRef>
          </c:val>
          <c:extLst>
            <c:ext xmlns:c16="http://schemas.microsoft.com/office/drawing/2014/chart" uri="{C3380CC4-5D6E-409C-BE32-E72D297353CC}">
              <c16:uniqueId val="{00000008-E0CE-4C9A-98D3-3177E964D5A3}"/>
            </c:ext>
          </c:extLst>
        </c:ser>
        <c:ser>
          <c:idx val="9"/>
          <c:order val="9"/>
          <c:tx>
            <c:strRef>
              <c:f>Sheet1!$A$124:$B$124</c:f>
              <c:strCache>
                <c:ptCount val="2"/>
                <c:pt idx="0">
                  <c:v>Kenya</c:v>
                </c:pt>
                <c:pt idx="1">
                  <c:v>-6.9</c:v>
                </c:pt>
              </c:strCache>
            </c:strRef>
          </c:tx>
          <c:spPr>
            <a:gradFill>
              <a:gsLst>
                <a:gs pos="0">
                  <a:schemeClr val="accent1">
                    <a:shade val="90000"/>
                  </a:schemeClr>
                </a:gs>
                <a:gs pos="100000">
                  <a:schemeClr val="accent1">
                    <a:shade val="90000"/>
                    <a:lumMod val="84000"/>
                  </a:schemeClr>
                </a:gs>
              </a:gsLst>
              <a:lin ang="5400000" scaled="1"/>
            </a:gradFill>
            <a:ln>
              <a:noFill/>
            </a:ln>
            <a:effectLst>
              <a:outerShdw blurRad="76200" dir="18900000" sy="23000" kx="-1200000" algn="bl" rotWithShape="0">
                <a:prstClr val="black">
                  <a:alpha val="20000"/>
                </a:prst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Sheet1!$C$114:$G$114</c:f>
              <c:strCache>
                <c:ptCount val="5"/>
                <c:pt idx="0">
                  <c:v>2020</c:v>
                </c:pt>
                <c:pt idx="1">
                  <c:v>2021</c:v>
                </c:pt>
                <c:pt idx="2">
                  <c:v>2022</c:v>
                </c:pt>
                <c:pt idx="3">
                  <c:v>2023p</c:v>
                </c:pt>
                <c:pt idx="4">
                  <c:v>2024p</c:v>
                </c:pt>
              </c:strCache>
            </c:strRef>
          </c:cat>
          <c:val>
            <c:numRef>
              <c:f>Sheet1!$C$124:$G$124</c:f>
            </c:numRef>
          </c:val>
          <c:extLst>
            <c:ext xmlns:c16="http://schemas.microsoft.com/office/drawing/2014/chart" uri="{C3380CC4-5D6E-409C-BE32-E72D297353CC}">
              <c16:uniqueId val="{00000009-E0CE-4C9A-98D3-3177E964D5A3}"/>
            </c:ext>
          </c:extLst>
        </c:ser>
        <c:ser>
          <c:idx val="10"/>
          <c:order val="10"/>
          <c:tx>
            <c:strRef>
              <c:f>Sheet1!$A$125:$B$125</c:f>
              <c:strCache>
                <c:ptCount val="2"/>
                <c:pt idx="0">
                  <c:v>Madagascar</c:v>
                </c:pt>
                <c:pt idx="1">
                  <c:v>-2.7</c:v>
                </c:pt>
              </c:strCache>
            </c:strRef>
          </c:tx>
          <c:spPr>
            <a:gradFill>
              <a:gsLst>
                <a:gs pos="0">
                  <a:schemeClr val="accent1">
                    <a:shade val="96000"/>
                  </a:schemeClr>
                </a:gs>
                <a:gs pos="100000">
                  <a:schemeClr val="accent1">
                    <a:shade val="96000"/>
                    <a:lumMod val="84000"/>
                  </a:schemeClr>
                </a:gs>
              </a:gsLst>
              <a:lin ang="5400000" scaled="1"/>
            </a:gradFill>
            <a:ln>
              <a:noFill/>
            </a:ln>
            <a:effectLst>
              <a:outerShdw blurRad="76200" dir="18900000" sy="23000" kx="-1200000" algn="bl" rotWithShape="0">
                <a:prstClr val="black">
                  <a:alpha val="20000"/>
                </a:prst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Sheet1!$C$114:$G$114</c:f>
              <c:strCache>
                <c:ptCount val="5"/>
                <c:pt idx="0">
                  <c:v>2020</c:v>
                </c:pt>
                <c:pt idx="1">
                  <c:v>2021</c:v>
                </c:pt>
                <c:pt idx="2">
                  <c:v>2022</c:v>
                </c:pt>
                <c:pt idx="3">
                  <c:v>2023p</c:v>
                </c:pt>
                <c:pt idx="4">
                  <c:v>2024p</c:v>
                </c:pt>
              </c:strCache>
            </c:strRef>
          </c:cat>
          <c:val>
            <c:numRef>
              <c:f>Sheet1!$C$125:$G$125</c:f>
            </c:numRef>
          </c:val>
          <c:extLst>
            <c:ext xmlns:c16="http://schemas.microsoft.com/office/drawing/2014/chart" uri="{C3380CC4-5D6E-409C-BE32-E72D297353CC}">
              <c16:uniqueId val="{0000000A-E0CE-4C9A-98D3-3177E964D5A3}"/>
            </c:ext>
          </c:extLst>
        </c:ser>
        <c:ser>
          <c:idx val="11"/>
          <c:order val="11"/>
          <c:tx>
            <c:strRef>
              <c:f>Sheet1!$A$126:$B$126</c:f>
              <c:strCache>
                <c:ptCount val="2"/>
                <c:pt idx="0">
                  <c:v>Malawi</c:v>
                </c:pt>
                <c:pt idx="1">
                  <c:v>-10.2</c:v>
                </c:pt>
              </c:strCache>
            </c:strRef>
          </c:tx>
          <c:spPr>
            <a:gradFill>
              <a:gsLst>
                <a:gs pos="0">
                  <a:schemeClr val="accent1">
                    <a:tint val="97000"/>
                  </a:schemeClr>
                </a:gs>
                <a:gs pos="100000">
                  <a:schemeClr val="accent1">
                    <a:tint val="97000"/>
                    <a:lumMod val="84000"/>
                  </a:schemeClr>
                </a:gs>
              </a:gsLst>
              <a:lin ang="5400000" scaled="1"/>
            </a:gradFill>
            <a:ln>
              <a:noFill/>
            </a:ln>
            <a:effectLst>
              <a:outerShdw blurRad="76200" dir="18900000" sy="23000" kx="-1200000" algn="bl" rotWithShape="0">
                <a:prstClr val="black">
                  <a:alpha val="20000"/>
                </a:prst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Sheet1!$C$114:$G$114</c:f>
              <c:strCache>
                <c:ptCount val="5"/>
                <c:pt idx="0">
                  <c:v>2020</c:v>
                </c:pt>
                <c:pt idx="1">
                  <c:v>2021</c:v>
                </c:pt>
                <c:pt idx="2">
                  <c:v>2022</c:v>
                </c:pt>
                <c:pt idx="3">
                  <c:v>2023p</c:v>
                </c:pt>
                <c:pt idx="4">
                  <c:v>2024p</c:v>
                </c:pt>
              </c:strCache>
            </c:strRef>
          </c:cat>
          <c:val>
            <c:numRef>
              <c:f>Sheet1!$C$126:$G$126</c:f>
            </c:numRef>
          </c:val>
          <c:extLst>
            <c:ext xmlns:c16="http://schemas.microsoft.com/office/drawing/2014/chart" uri="{C3380CC4-5D6E-409C-BE32-E72D297353CC}">
              <c16:uniqueId val="{0000000B-E0CE-4C9A-98D3-3177E964D5A3}"/>
            </c:ext>
          </c:extLst>
        </c:ser>
        <c:ser>
          <c:idx val="12"/>
          <c:order val="12"/>
          <c:tx>
            <c:strRef>
              <c:f>Sheet1!$A$127:$B$127</c:f>
              <c:strCache>
                <c:ptCount val="2"/>
                <c:pt idx="0">
                  <c:v>Mauritius</c:v>
                </c:pt>
                <c:pt idx="1">
                  <c:v>-5.8</c:v>
                </c:pt>
              </c:strCache>
            </c:strRef>
          </c:tx>
          <c:spPr>
            <a:gradFill>
              <a:gsLst>
                <a:gs pos="0">
                  <a:schemeClr val="accent1">
                    <a:tint val="91000"/>
                  </a:schemeClr>
                </a:gs>
                <a:gs pos="100000">
                  <a:schemeClr val="accent1">
                    <a:tint val="91000"/>
                    <a:lumMod val="84000"/>
                  </a:schemeClr>
                </a:gs>
              </a:gsLst>
              <a:lin ang="5400000" scaled="1"/>
            </a:gradFill>
            <a:ln>
              <a:noFill/>
            </a:ln>
            <a:effectLst>
              <a:outerShdw blurRad="76200" dir="18900000" sy="23000" kx="-1200000" algn="bl" rotWithShape="0">
                <a:prstClr val="black">
                  <a:alpha val="20000"/>
                </a:prst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Sheet1!$C$114:$G$114</c:f>
              <c:strCache>
                <c:ptCount val="5"/>
                <c:pt idx="0">
                  <c:v>2020</c:v>
                </c:pt>
                <c:pt idx="1">
                  <c:v>2021</c:v>
                </c:pt>
                <c:pt idx="2">
                  <c:v>2022</c:v>
                </c:pt>
                <c:pt idx="3">
                  <c:v>2023p</c:v>
                </c:pt>
                <c:pt idx="4">
                  <c:v>2024p</c:v>
                </c:pt>
              </c:strCache>
            </c:strRef>
          </c:cat>
          <c:val>
            <c:numRef>
              <c:f>Sheet1!$C$127:$G$127</c:f>
            </c:numRef>
          </c:val>
          <c:extLst>
            <c:ext xmlns:c16="http://schemas.microsoft.com/office/drawing/2014/chart" uri="{C3380CC4-5D6E-409C-BE32-E72D297353CC}">
              <c16:uniqueId val="{0000000C-E0CE-4C9A-98D3-3177E964D5A3}"/>
            </c:ext>
          </c:extLst>
        </c:ser>
        <c:ser>
          <c:idx val="13"/>
          <c:order val="13"/>
          <c:tx>
            <c:strRef>
              <c:f>Sheet1!$A$128:$B$128</c:f>
              <c:strCache>
                <c:ptCount val="2"/>
                <c:pt idx="0">
                  <c:v>Rwanda</c:v>
                </c:pt>
                <c:pt idx="1">
                  <c:v>-10.5</c:v>
                </c:pt>
              </c:strCache>
            </c:strRef>
          </c:tx>
          <c:spPr>
            <a:gradFill>
              <a:gsLst>
                <a:gs pos="0">
                  <a:schemeClr val="accent1">
                    <a:tint val="85000"/>
                  </a:schemeClr>
                </a:gs>
                <a:gs pos="100000">
                  <a:schemeClr val="accent1">
                    <a:tint val="85000"/>
                    <a:lumMod val="84000"/>
                  </a:schemeClr>
                </a:gs>
              </a:gsLst>
              <a:lin ang="5400000" scaled="1"/>
            </a:gradFill>
            <a:ln>
              <a:noFill/>
            </a:ln>
            <a:effectLst>
              <a:outerShdw blurRad="76200" dir="18900000" sy="23000" kx="-1200000" algn="bl" rotWithShape="0">
                <a:prstClr val="black">
                  <a:alpha val="20000"/>
                </a:prst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Sheet1!$C$114:$G$114</c:f>
              <c:strCache>
                <c:ptCount val="5"/>
                <c:pt idx="0">
                  <c:v>2020</c:v>
                </c:pt>
                <c:pt idx="1">
                  <c:v>2021</c:v>
                </c:pt>
                <c:pt idx="2">
                  <c:v>2022</c:v>
                </c:pt>
                <c:pt idx="3">
                  <c:v>2023p</c:v>
                </c:pt>
                <c:pt idx="4">
                  <c:v>2024p</c:v>
                </c:pt>
              </c:strCache>
            </c:strRef>
          </c:cat>
          <c:val>
            <c:numRef>
              <c:f>Sheet1!$C$128:$G$128</c:f>
            </c:numRef>
          </c:val>
          <c:extLst>
            <c:ext xmlns:c16="http://schemas.microsoft.com/office/drawing/2014/chart" uri="{C3380CC4-5D6E-409C-BE32-E72D297353CC}">
              <c16:uniqueId val="{0000000D-E0CE-4C9A-98D3-3177E964D5A3}"/>
            </c:ext>
          </c:extLst>
        </c:ser>
        <c:ser>
          <c:idx val="14"/>
          <c:order val="14"/>
          <c:tx>
            <c:strRef>
              <c:f>Sheet1!$A$129:$B$129</c:f>
              <c:strCache>
                <c:ptCount val="2"/>
                <c:pt idx="0">
                  <c:v>Seychelles</c:v>
                </c:pt>
                <c:pt idx="1">
                  <c:v>-15.7</c:v>
                </c:pt>
              </c:strCache>
            </c:strRef>
          </c:tx>
          <c:spPr>
            <a:gradFill>
              <a:gsLst>
                <a:gs pos="0">
                  <a:schemeClr val="accent1">
                    <a:tint val="79000"/>
                  </a:schemeClr>
                </a:gs>
                <a:gs pos="100000">
                  <a:schemeClr val="accent1">
                    <a:tint val="79000"/>
                    <a:lumMod val="84000"/>
                  </a:schemeClr>
                </a:gs>
              </a:gsLst>
              <a:lin ang="5400000" scaled="1"/>
            </a:gradFill>
            <a:ln>
              <a:noFill/>
            </a:ln>
            <a:effectLst>
              <a:outerShdw blurRad="76200" dir="18900000" sy="23000" kx="-1200000" algn="bl" rotWithShape="0">
                <a:prstClr val="black">
                  <a:alpha val="20000"/>
                </a:prst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Sheet1!$C$114:$G$114</c:f>
              <c:strCache>
                <c:ptCount val="5"/>
                <c:pt idx="0">
                  <c:v>2020</c:v>
                </c:pt>
                <c:pt idx="1">
                  <c:v>2021</c:v>
                </c:pt>
                <c:pt idx="2">
                  <c:v>2022</c:v>
                </c:pt>
                <c:pt idx="3">
                  <c:v>2023p</c:v>
                </c:pt>
                <c:pt idx="4">
                  <c:v>2024p</c:v>
                </c:pt>
              </c:strCache>
            </c:strRef>
          </c:cat>
          <c:val>
            <c:numRef>
              <c:f>Sheet1!$C$129:$G$129</c:f>
            </c:numRef>
          </c:val>
          <c:extLst>
            <c:ext xmlns:c16="http://schemas.microsoft.com/office/drawing/2014/chart" uri="{C3380CC4-5D6E-409C-BE32-E72D297353CC}">
              <c16:uniqueId val="{0000000E-E0CE-4C9A-98D3-3177E964D5A3}"/>
            </c:ext>
          </c:extLst>
        </c:ser>
        <c:ser>
          <c:idx val="15"/>
          <c:order val="15"/>
          <c:tx>
            <c:strRef>
              <c:f>Sheet1!$A$130:$B$130</c:f>
              <c:strCache>
                <c:ptCount val="2"/>
                <c:pt idx="0">
                  <c:v>Somalia</c:v>
                </c:pt>
              </c:strCache>
            </c:strRef>
          </c:tx>
          <c:spPr>
            <a:gradFill>
              <a:gsLst>
                <a:gs pos="0">
                  <a:schemeClr val="accent1">
                    <a:tint val="73000"/>
                  </a:schemeClr>
                </a:gs>
                <a:gs pos="100000">
                  <a:schemeClr val="accent1">
                    <a:tint val="73000"/>
                    <a:lumMod val="84000"/>
                  </a:schemeClr>
                </a:gs>
              </a:gsLst>
              <a:lin ang="5400000" scaled="1"/>
            </a:gradFill>
            <a:ln>
              <a:noFill/>
            </a:ln>
            <a:effectLst>
              <a:outerShdw blurRad="76200" dir="18900000" sy="23000" kx="-1200000" algn="bl" rotWithShape="0">
                <a:prstClr val="black">
                  <a:alpha val="20000"/>
                </a:prst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Sheet1!$C$114:$G$114</c:f>
              <c:strCache>
                <c:ptCount val="5"/>
                <c:pt idx="0">
                  <c:v>2020</c:v>
                </c:pt>
                <c:pt idx="1">
                  <c:v>2021</c:v>
                </c:pt>
                <c:pt idx="2">
                  <c:v>2022</c:v>
                </c:pt>
                <c:pt idx="3">
                  <c:v>2023p</c:v>
                </c:pt>
                <c:pt idx="4">
                  <c:v>2024p</c:v>
                </c:pt>
              </c:strCache>
            </c:strRef>
          </c:cat>
          <c:val>
            <c:numRef>
              <c:f>Sheet1!$C$130:$G$130</c:f>
            </c:numRef>
          </c:val>
          <c:extLst>
            <c:ext xmlns:c16="http://schemas.microsoft.com/office/drawing/2014/chart" uri="{C3380CC4-5D6E-409C-BE32-E72D297353CC}">
              <c16:uniqueId val="{0000000F-E0CE-4C9A-98D3-3177E964D5A3}"/>
            </c:ext>
          </c:extLst>
        </c:ser>
        <c:ser>
          <c:idx val="16"/>
          <c:order val="16"/>
          <c:tx>
            <c:strRef>
              <c:f>Sheet1!$A$131:$B$131</c:f>
              <c:strCache>
                <c:ptCount val="2"/>
                <c:pt idx="0">
                  <c:v>Sudan</c:v>
                </c:pt>
                <c:pt idx="1">
                  <c:v>-9</c:v>
                </c:pt>
              </c:strCache>
            </c:strRef>
          </c:tx>
          <c:spPr>
            <a:gradFill>
              <a:gsLst>
                <a:gs pos="0">
                  <a:schemeClr val="accent1">
                    <a:tint val="67000"/>
                  </a:schemeClr>
                </a:gs>
                <a:gs pos="100000">
                  <a:schemeClr val="accent1">
                    <a:tint val="67000"/>
                    <a:lumMod val="84000"/>
                  </a:schemeClr>
                </a:gs>
              </a:gsLst>
              <a:lin ang="5400000" scaled="1"/>
            </a:gradFill>
            <a:ln>
              <a:noFill/>
            </a:ln>
            <a:effectLst>
              <a:outerShdw blurRad="76200" dir="18900000" sy="23000" kx="-1200000" algn="bl" rotWithShape="0">
                <a:prstClr val="black">
                  <a:alpha val="20000"/>
                </a:prst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Sheet1!$C$114:$G$114</c:f>
              <c:strCache>
                <c:ptCount val="5"/>
                <c:pt idx="0">
                  <c:v>2020</c:v>
                </c:pt>
                <c:pt idx="1">
                  <c:v>2021</c:v>
                </c:pt>
                <c:pt idx="2">
                  <c:v>2022</c:v>
                </c:pt>
                <c:pt idx="3">
                  <c:v>2023p</c:v>
                </c:pt>
                <c:pt idx="4">
                  <c:v>2024p</c:v>
                </c:pt>
              </c:strCache>
            </c:strRef>
          </c:cat>
          <c:val>
            <c:numRef>
              <c:f>Sheet1!$C$131:$G$131</c:f>
            </c:numRef>
          </c:val>
          <c:extLst>
            <c:ext xmlns:c16="http://schemas.microsoft.com/office/drawing/2014/chart" uri="{C3380CC4-5D6E-409C-BE32-E72D297353CC}">
              <c16:uniqueId val="{00000010-E0CE-4C9A-98D3-3177E964D5A3}"/>
            </c:ext>
          </c:extLst>
        </c:ser>
        <c:ser>
          <c:idx val="17"/>
          <c:order val="17"/>
          <c:tx>
            <c:strRef>
              <c:f>Sheet1!$A$132:$B$132</c:f>
              <c:strCache>
                <c:ptCount val="2"/>
                <c:pt idx="0">
                  <c:v>Tunisia</c:v>
                </c:pt>
                <c:pt idx="1">
                  <c:v>-6.1</c:v>
                </c:pt>
              </c:strCache>
            </c:strRef>
          </c:tx>
          <c:spPr>
            <a:gradFill>
              <a:gsLst>
                <a:gs pos="0">
                  <a:schemeClr val="accent1">
                    <a:tint val="61000"/>
                  </a:schemeClr>
                </a:gs>
                <a:gs pos="100000">
                  <a:schemeClr val="accent1">
                    <a:tint val="61000"/>
                    <a:lumMod val="84000"/>
                  </a:schemeClr>
                </a:gs>
              </a:gsLst>
              <a:lin ang="5400000" scaled="1"/>
            </a:gradFill>
            <a:ln>
              <a:noFill/>
            </a:ln>
            <a:effectLst>
              <a:outerShdw blurRad="76200" dir="18900000" sy="23000" kx="-1200000" algn="bl" rotWithShape="0">
                <a:prstClr val="black">
                  <a:alpha val="20000"/>
                </a:prst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Sheet1!$C$114:$G$114</c:f>
              <c:strCache>
                <c:ptCount val="5"/>
                <c:pt idx="0">
                  <c:v>2020</c:v>
                </c:pt>
                <c:pt idx="1">
                  <c:v>2021</c:v>
                </c:pt>
                <c:pt idx="2">
                  <c:v>2022</c:v>
                </c:pt>
                <c:pt idx="3">
                  <c:v>2023p</c:v>
                </c:pt>
                <c:pt idx="4">
                  <c:v>2024p</c:v>
                </c:pt>
              </c:strCache>
            </c:strRef>
          </c:cat>
          <c:val>
            <c:numRef>
              <c:f>Sheet1!$C$132:$G$132</c:f>
            </c:numRef>
          </c:val>
          <c:extLst>
            <c:ext xmlns:c16="http://schemas.microsoft.com/office/drawing/2014/chart" uri="{C3380CC4-5D6E-409C-BE32-E72D297353CC}">
              <c16:uniqueId val="{00000011-E0CE-4C9A-98D3-3177E964D5A3}"/>
            </c:ext>
          </c:extLst>
        </c:ser>
        <c:ser>
          <c:idx val="18"/>
          <c:order val="18"/>
          <c:tx>
            <c:strRef>
              <c:f>Sheet1!$A$133:$B$133</c:f>
              <c:strCache>
                <c:ptCount val="2"/>
                <c:pt idx="0">
                  <c:v>Uganda</c:v>
                </c:pt>
                <c:pt idx="1">
                  <c:v>-5.7</c:v>
                </c:pt>
              </c:strCache>
            </c:strRef>
          </c:tx>
          <c:spPr>
            <a:gradFill>
              <a:gsLst>
                <a:gs pos="0">
                  <a:schemeClr val="accent1">
                    <a:tint val="55000"/>
                  </a:schemeClr>
                </a:gs>
                <a:gs pos="100000">
                  <a:schemeClr val="accent1">
                    <a:tint val="55000"/>
                    <a:lumMod val="84000"/>
                  </a:schemeClr>
                </a:gs>
              </a:gsLst>
              <a:lin ang="5400000" scaled="1"/>
            </a:gradFill>
            <a:ln>
              <a:noFill/>
            </a:ln>
            <a:effectLst>
              <a:outerShdw blurRad="76200" dir="18900000" sy="23000" kx="-1200000" algn="bl" rotWithShape="0">
                <a:prstClr val="black">
                  <a:alpha val="20000"/>
                </a:prst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Sheet1!$C$114:$G$114</c:f>
              <c:strCache>
                <c:ptCount val="5"/>
                <c:pt idx="0">
                  <c:v>2020</c:v>
                </c:pt>
                <c:pt idx="1">
                  <c:v>2021</c:v>
                </c:pt>
                <c:pt idx="2">
                  <c:v>2022</c:v>
                </c:pt>
                <c:pt idx="3">
                  <c:v>2023p</c:v>
                </c:pt>
                <c:pt idx="4">
                  <c:v>2024p</c:v>
                </c:pt>
              </c:strCache>
            </c:strRef>
          </c:cat>
          <c:val>
            <c:numRef>
              <c:f>Sheet1!$C$133:$G$133</c:f>
            </c:numRef>
          </c:val>
          <c:extLst>
            <c:ext xmlns:c16="http://schemas.microsoft.com/office/drawing/2014/chart" uri="{C3380CC4-5D6E-409C-BE32-E72D297353CC}">
              <c16:uniqueId val="{00000012-E0CE-4C9A-98D3-3177E964D5A3}"/>
            </c:ext>
          </c:extLst>
        </c:ser>
        <c:ser>
          <c:idx val="19"/>
          <c:order val="19"/>
          <c:tx>
            <c:strRef>
              <c:f>Sheet1!$A$134:$B$134</c:f>
              <c:strCache>
                <c:ptCount val="2"/>
                <c:pt idx="0">
                  <c:v>Zambia</c:v>
                </c:pt>
                <c:pt idx="1">
                  <c:v>0.3</c:v>
                </c:pt>
              </c:strCache>
            </c:strRef>
          </c:tx>
          <c:spPr>
            <a:gradFill>
              <a:gsLst>
                <a:gs pos="0">
                  <a:schemeClr val="accent1">
                    <a:tint val="49000"/>
                  </a:schemeClr>
                </a:gs>
                <a:gs pos="100000">
                  <a:schemeClr val="accent1">
                    <a:tint val="49000"/>
                    <a:lumMod val="84000"/>
                  </a:schemeClr>
                </a:gs>
              </a:gsLst>
              <a:lin ang="5400000" scaled="1"/>
            </a:gradFill>
            <a:ln>
              <a:noFill/>
            </a:ln>
            <a:effectLst>
              <a:outerShdw blurRad="76200" dir="18900000" sy="23000" kx="-1200000" algn="bl" rotWithShape="0">
                <a:prstClr val="black">
                  <a:alpha val="20000"/>
                </a:prst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Sheet1!$C$114:$G$114</c:f>
              <c:strCache>
                <c:ptCount val="5"/>
                <c:pt idx="0">
                  <c:v>2020</c:v>
                </c:pt>
                <c:pt idx="1">
                  <c:v>2021</c:v>
                </c:pt>
                <c:pt idx="2">
                  <c:v>2022</c:v>
                </c:pt>
                <c:pt idx="3">
                  <c:v>2023p</c:v>
                </c:pt>
                <c:pt idx="4">
                  <c:v>2024p</c:v>
                </c:pt>
              </c:strCache>
            </c:strRef>
          </c:cat>
          <c:val>
            <c:numRef>
              <c:f>Sheet1!$C$134:$G$134</c:f>
            </c:numRef>
          </c:val>
          <c:extLst>
            <c:ext xmlns:c16="http://schemas.microsoft.com/office/drawing/2014/chart" uri="{C3380CC4-5D6E-409C-BE32-E72D297353CC}">
              <c16:uniqueId val="{00000013-E0CE-4C9A-98D3-3177E964D5A3}"/>
            </c:ext>
          </c:extLst>
        </c:ser>
        <c:ser>
          <c:idx val="20"/>
          <c:order val="20"/>
          <c:tx>
            <c:strRef>
              <c:f>Sheet1!$A$135:$B$135</c:f>
              <c:strCache>
                <c:ptCount val="2"/>
                <c:pt idx="0">
                  <c:v>Zimbabwe</c:v>
                </c:pt>
                <c:pt idx="1">
                  <c:v>-7.9</c:v>
                </c:pt>
              </c:strCache>
            </c:strRef>
          </c:tx>
          <c:spPr>
            <a:gradFill>
              <a:gsLst>
                <a:gs pos="0">
                  <a:schemeClr val="accent1">
                    <a:tint val="43000"/>
                  </a:schemeClr>
                </a:gs>
                <a:gs pos="100000">
                  <a:schemeClr val="accent1">
                    <a:tint val="43000"/>
                    <a:lumMod val="84000"/>
                  </a:schemeClr>
                </a:gs>
              </a:gsLst>
              <a:lin ang="5400000" scaled="1"/>
            </a:gradFill>
            <a:ln>
              <a:noFill/>
            </a:ln>
            <a:effectLst>
              <a:outerShdw blurRad="76200" dir="18900000" sy="23000" kx="-1200000" algn="bl" rotWithShape="0">
                <a:prstClr val="black">
                  <a:alpha val="20000"/>
                </a:prst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Sheet1!$C$114:$G$114</c:f>
              <c:strCache>
                <c:ptCount val="5"/>
                <c:pt idx="0">
                  <c:v>2020</c:v>
                </c:pt>
                <c:pt idx="1">
                  <c:v>2021</c:v>
                </c:pt>
                <c:pt idx="2">
                  <c:v>2022</c:v>
                </c:pt>
                <c:pt idx="3">
                  <c:v>2023p</c:v>
                </c:pt>
                <c:pt idx="4">
                  <c:v>2024p</c:v>
                </c:pt>
              </c:strCache>
            </c:strRef>
          </c:cat>
          <c:val>
            <c:numRef>
              <c:f>Sheet1!$C$135:$G$135</c:f>
            </c:numRef>
          </c:val>
          <c:extLst>
            <c:ext xmlns:c16="http://schemas.microsoft.com/office/drawing/2014/chart" uri="{C3380CC4-5D6E-409C-BE32-E72D297353CC}">
              <c16:uniqueId val="{00000014-E0CE-4C9A-98D3-3177E964D5A3}"/>
            </c:ext>
          </c:extLst>
        </c:ser>
        <c:ser>
          <c:idx val="21"/>
          <c:order val="21"/>
          <c:tx>
            <c:strRef>
              <c:f>Sheet1!$A$136:$B$136</c:f>
              <c:strCache>
                <c:ptCount val="2"/>
                <c:pt idx="0">
                  <c:v>COMESA </c:v>
                </c:pt>
                <c:pt idx="1">
                  <c:v>-5.7</c:v>
                </c:pt>
              </c:strCache>
            </c:strRef>
          </c:tx>
          <c:spPr>
            <a:gradFill>
              <a:gsLst>
                <a:gs pos="0">
                  <a:schemeClr val="accent1">
                    <a:tint val="37000"/>
                  </a:schemeClr>
                </a:gs>
                <a:gs pos="100000">
                  <a:schemeClr val="accent1">
                    <a:tint val="37000"/>
                    <a:lumMod val="84000"/>
                  </a:schemeClr>
                </a:gs>
              </a:gsLst>
              <a:lin ang="5400000" scaled="1"/>
            </a:gradFill>
            <a:ln>
              <a:noFill/>
            </a:ln>
            <a:effectLst>
              <a:outerShdw blurRad="76200" dir="18900000" sy="23000" kx="-1200000" algn="bl" rotWithShape="0">
                <a:prstClr val="black">
                  <a:alpha val="20000"/>
                </a:prst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Sheet1!$C$114:$G$114</c:f>
              <c:strCache>
                <c:ptCount val="5"/>
                <c:pt idx="0">
                  <c:v>2020</c:v>
                </c:pt>
                <c:pt idx="1">
                  <c:v>2021</c:v>
                </c:pt>
                <c:pt idx="2">
                  <c:v>2022</c:v>
                </c:pt>
                <c:pt idx="3">
                  <c:v>2023p</c:v>
                </c:pt>
                <c:pt idx="4">
                  <c:v>2024p</c:v>
                </c:pt>
              </c:strCache>
            </c:strRef>
          </c:cat>
          <c:val>
            <c:numRef>
              <c:f>Sheet1!$C$136:$G$136</c:f>
              <c:numCache>
                <c:formatCode>General</c:formatCode>
                <c:ptCount val="5"/>
                <c:pt idx="0">
                  <c:v>-4.0999999999999996</c:v>
                </c:pt>
                <c:pt idx="1">
                  <c:v>-3.7</c:v>
                </c:pt>
                <c:pt idx="2">
                  <c:v>-4.2</c:v>
                </c:pt>
                <c:pt idx="3">
                  <c:v>-4.5999999999999996</c:v>
                </c:pt>
                <c:pt idx="4">
                  <c:v>-4.2</c:v>
                </c:pt>
              </c:numCache>
            </c:numRef>
          </c:val>
          <c:extLst>
            <c:ext xmlns:c16="http://schemas.microsoft.com/office/drawing/2014/chart" uri="{C3380CC4-5D6E-409C-BE32-E72D297353CC}">
              <c16:uniqueId val="{00000015-E0CE-4C9A-98D3-3177E964D5A3}"/>
            </c:ext>
          </c:extLst>
        </c:ser>
        <c:dLbls>
          <c:dLblPos val="inEnd"/>
          <c:showLegendKey val="0"/>
          <c:showVal val="1"/>
          <c:showCatName val="0"/>
          <c:showSerName val="0"/>
          <c:showPercent val="0"/>
          <c:showBubbleSize val="0"/>
        </c:dLbls>
        <c:gapWidth val="41"/>
        <c:axId val="118298415"/>
        <c:axId val="118285103"/>
      </c:barChart>
      <c:catAx>
        <c:axId val="118298415"/>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effectLst/>
                <a:latin typeface="+mn-lt"/>
                <a:ea typeface="+mn-ea"/>
                <a:cs typeface="+mn-cs"/>
              </a:defRPr>
            </a:pPr>
            <a:endParaRPr lang="en-US"/>
          </a:p>
        </c:txPr>
        <c:crossAx val="118285103"/>
        <c:crosses val="autoZero"/>
        <c:auto val="1"/>
        <c:lblAlgn val="ctr"/>
        <c:lblOffset val="100"/>
        <c:noMultiLvlLbl val="0"/>
      </c:catAx>
      <c:valAx>
        <c:axId val="118285103"/>
        <c:scaling>
          <c:orientation val="minMax"/>
        </c:scaling>
        <c:delete val="1"/>
        <c:axPos val="l"/>
        <c:numFmt formatCode="General" sourceLinked="1"/>
        <c:majorTickMark val="none"/>
        <c:minorTickMark val="none"/>
        <c:tickLblPos val="nextTo"/>
        <c:crossAx val="118298415"/>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68000">
          <a:schemeClr val="lt1">
            <a:lumMod val="85000"/>
          </a:schemeClr>
        </a:gs>
        <a:gs pos="100000">
          <a:schemeClr val="lt1"/>
        </a:gs>
      </a:gsLst>
      <a:lin ang="5400000" scaled="1"/>
      <a:tileRect/>
    </a:gradFill>
    <a:ln w="9525" cap="flat" cmpd="sng" algn="ctr">
      <a:solidFill>
        <a:schemeClr val="dk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ndard"/>
        <c:varyColors val="0"/>
        <c:ser>
          <c:idx val="0"/>
          <c:order val="0"/>
          <c:tx>
            <c:strRef>
              <c:f>Sheet1!$A$142</c:f>
              <c:strCache>
                <c:ptCount val="1"/>
                <c:pt idx="0">
                  <c:v>Burundi</c:v>
                </c:pt>
              </c:strCache>
            </c:strRef>
          </c:tx>
          <c:spPr>
            <a:solidFill>
              <a:schemeClr val="accent1"/>
            </a:solidFill>
            <a:ln>
              <a:noFill/>
            </a:ln>
            <a:effectLst/>
            <a:sp3d/>
          </c:spPr>
          <c:invertIfNegative val="0"/>
          <c:cat>
            <c:strRef>
              <c:f>Sheet1!$B$141:$G$141</c:f>
              <c:strCache>
                <c:ptCount val="5"/>
                <c:pt idx="0">
                  <c:v>2020</c:v>
                </c:pt>
                <c:pt idx="1">
                  <c:v>2021</c:v>
                </c:pt>
                <c:pt idx="2">
                  <c:v>2022</c:v>
                </c:pt>
                <c:pt idx="3">
                  <c:v>2023p</c:v>
                </c:pt>
                <c:pt idx="4">
                  <c:v>2024p</c:v>
                </c:pt>
              </c:strCache>
            </c:strRef>
          </c:cat>
          <c:val>
            <c:numRef>
              <c:f>Sheet1!$B$142:$G$142</c:f>
            </c:numRef>
          </c:val>
          <c:extLst>
            <c:ext xmlns:c16="http://schemas.microsoft.com/office/drawing/2014/chart" uri="{C3380CC4-5D6E-409C-BE32-E72D297353CC}">
              <c16:uniqueId val="{00000000-4E90-434E-BFE7-B2D47CC589BF}"/>
            </c:ext>
          </c:extLst>
        </c:ser>
        <c:ser>
          <c:idx val="1"/>
          <c:order val="1"/>
          <c:tx>
            <c:strRef>
              <c:f>Sheet1!$A$143</c:f>
              <c:strCache>
                <c:ptCount val="1"/>
                <c:pt idx="0">
                  <c:v>Comoros</c:v>
                </c:pt>
              </c:strCache>
            </c:strRef>
          </c:tx>
          <c:spPr>
            <a:solidFill>
              <a:schemeClr val="accent2"/>
            </a:solidFill>
            <a:ln>
              <a:noFill/>
            </a:ln>
            <a:effectLst/>
            <a:sp3d/>
          </c:spPr>
          <c:invertIfNegative val="0"/>
          <c:cat>
            <c:strRef>
              <c:f>Sheet1!$B$141:$G$141</c:f>
              <c:strCache>
                <c:ptCount val="5"/>
                <c:pt idx="0">
                  <c:v>2020</c:v>
                </c:pt>
                <c:pt idx="1">
                  <c:v>2021</c:v>
                </c:pt>
                <c:pt idx="2">
                  <c:v>2022</c:v>
                </c:pt>
                <c:pt idx="3">
                  <c:v>2023p</c:v>
                </c:pt>
                <c:pt idx="4">
                  <c:v>2024p</c:v>
                </c:pt>
              </c:strCache>
            </c:strRef>
          </c:cat>
          <c:val>
            <c:numRef>
              <c:f>Sheet1!$B$143:$G$143</c:f>
            </c:numRef>
          </c:val>
          <c:extLst>
            <c:ext xmlns:c16="http://schemas.microsoft.com/office/drawing/2014/chart" uri="{C3380CC4-5D6E-409C-BE32-E72D297353CC}">
              <c16:uniqueId val="{00000001-4E90-434E-BFE7-B2D47CC589BF}"/>
            </c:ext>
          </c:extLst>
        </c:ser>
        <c:ser>
          <c:idx val="2"/>
          <c:order val="2"/>
          <c:tx>
            <c:strRef>
              <c:f>Sheet1!$A$144</c:f>
              <c:strCache>
                <c:ptCount val="1"/>
                <c:pt idx="0">
                  <c:v>Congo, Dem. Rep.</c:v>
                </c:pt>
              </c:strCache>
            </c:strRef>
          </c:tx>
          <c:spPr>
            <a:solidFill>
              <a:schemeClr val="accent3"/>
            </a:solidFill>
            <a:ln>
              <a:noFill/>
            </a:ln>
            <a:effectLst/>
            <a:sp3d/>
          </c:spPr>
          <c:invertIfNegative val="0"/>
          <c:cat>
            <c:strRef>
              <c:f>Sheet1!$B$141:$G$141</c:f>
              <c:strCache>
                <c:ptCount val="5"/>
                <c:pt idx="0">
                  <c:v>2020</c:v>
                </c:pt>
                <c:pt idx="1">
                  <c:v>2021</c:v>
                </c:pt>
                <c:pt idx="2">
                  <c:v>2022</c:v>
                </c:pt>
                <c:pt idx="3">
                  <c:v>2023p</c:v>
                </c:pt>
                <c:pt idx="4">
                  <c:v>2024p</c:v>
                </c:pt>
              </c:strCache>
            </c:strRef>
          </c:cat>
          <c:val>
            <c:numRef>
              <c:f>Sheet1!$B$144:$G$144</c:f>
            </c:numRef>
          </c:val>
          <c:extLst>
            <c:ext xmlns:c16="http://schemas.microsoft.com/office/drawing/2014/chart" uri="{C3380CC4-5D6E-409C-BE32-E72D297353CC}">
              <c16:uniqueId val="{00000002-4E90-434E-BFE7-B2D47CC589BF}"/>
            </c:ext>
          </c:extLst>
        </c:ser>
        <c:ser>
          <c:idx val="3"/>
          <c:order val="3"/>
          <c:tx>
            <c:strRef>
              <c:f>Sheet1!$A$145</c:f>
              <c:strCache>
                <c:ptCount val="1"/>
                <c:pt idx="0">
                  <c:v>Djibouti</c:v>
                </c:pt>
              </c:strCache>
            </c:strRef>
          </c:tx>
          <c:spPr>
            <a:solidFill>
              <a:schemeClr val="accent4"/>
            </a:solidFill>
            <a:ln>
              <a:noFill/>
            </a:ln>
            <a:effectLst/>
            <a:sp3d/>
          </c:spPr>
          <c:invertIfNegative val="0"/>
          <c:cat>
            <c:strRef>
              <c:f>Sheet1!$B$141:$G$141</c:f>
              <c:strCache>
                <c:ptCount val="5"/>
                <c:pt idx="0">
                  <c:v>2020</c:v>
                </c:pt>
                <c:pt idx="1">
                  <c:v>2021</c:v>
                </c:pt>
                <c:pt idx="2">
                  <c:v>2022</c:v>
                </c:pt>
                <c:pt idx="3">
                  <c:v>2023p</c:v>
                </c:pt>
                <c:pt idx="4">
                  <c:v>2024p</c:v>
                </c:pt>
              </c:strCache>
            </c:strRef>
          </c:cat>
          <c:val>
            <c:numRef>
              <c:f>Sheet1!$B$145:$G$145</c:f>
            </c:numRef>
          </c:val>
          <c:extLst>
            <c:ext xmlns:c16="http://schemas.microsoft.com/office/drawing/2014/chart" uri="{C3380CC4-5D6E-409C-BE32-E72D297353CC}">
              <c16:uniqueId val="{00000003-4E90-434E-BFE7-B2D47CC589BF}"/>
            </c:ext>
          </c:extLst>
        </c:ser>
        <c:ser>
          <c:idx val="4"/>
          <c:order val="4"/>
          <c:tx>
            <c:strRef>
              <c:f>Sheet1!$A$146</c:f>
              <c:strCache>
                <c:ptCount val="1"/>
                <c:pt idx="0">
                  <c:v>Egypt, Arab Rep.</c:v>
                </c:pt>
              </c:strCache>
            </c:strRef>
          </c:tx>
          <c:spPr>
            <a:solidFill>
              <a:schemeClr val="accent5"/>
            </a:solidFill>
            <a:ln>
              <a:noFill/>
            </a:ln>
            <a:effectLst/>
            <a:sp3d/>
          </c:spPr>
          <c:invertIfNegative val="0"/>
          <c:cat>
            <c:strRef>
              <c:f>Sheet1!$B$141:$G$141</c:f>
              <c:strCache>
                <c:ptCount val="5"/>
                <c:pt idx="0">
                  <c:v>2020</c:v>
                </c:pt>
                <c:pt idx="1">
                  <c:v>2021</c:v>
                </c:pt>
                <c:pt idx="2">
                  <c:v>2022</c:v>
                </c:pt>
                <c:pt idx="3">
                  <c:v>2023p</c:v>
                </c:pt>
                <c:pt idx="4">
                  <c:v>2024p</c:v>
                </c:pt>
              </c:strCache>
            </c:strRef>
          </c:cat>
          <c:val>
            <c:numRef>
              <c:f>Sheet1!$B$146:$G$146</c:f>
            </c:numRef>
          </c:val>
          <c:extLst>
            <c:ext xmlns:c16="http://schemas.microsoft.com/office/drawing/2014/chart" uri="{C3380CC4-5D6E-409C-BE32-E72D297353CC}">
              <c16:uniqueId val="{00000004-4E90-434E-BFE7-B2D47CC589BF}"/>
            </c:ext>
          </c:extLst>
        </c:ser>
        <c:ser>
          <c:idx val="6"/>
          <c:order val="6"/>
          <c:tx>
            <c:strRef>
              <c:f>Sheet1!$A$148</c:f>
              <c:strCache>
                <c:ptCount val="1"/>
                <c:pt idx="0">
                  <c:v>Ethiopia</c:v>
                </c:pt>
              </c:strCache>
            </c:strRef>
          </c:tx>
          <c:spPr>
            <a:solidFill>
              <a:schemeClr val="accent1">
                <a:lumMod val="60000"/>
              </a:schemeClr>
            </a:solidFill>
            <a:ln>
              <a:noFill/>
            </a:ln>
            <a:effectLst/>
            <a:sp3d/>
          </c:spPr>
          <c:invertIfNegative val="0"/>
          <c:cat>
            <c:strRef>
              <c:f>Sheet1!$B$141:$G$141</c:f>
              <c:strCache>
                <c:ptCount val="5"/>
                <c:pt idx="0">
                  <c:v>2020</c:v>
                </c:pt>
                <c:pt idx="1">
                  <c:v>2021</c:v>
                </c:pt>
                <c:pt idx="2">
                  <c:v>2022</c:v>
                </c:pt>
                <c:pt idx="3">
                  <c:v>2023p</c:v>
                </c:pt>
                <c:pt idx="4">
                  <c:v>2024p</c:v>
                </c:pt>
              </c:strCache>
            </c:strRef>
          </c:cat>
          <c:val>
            <c:numRef>
              <c:f>Sheet1!$B$148:$G$148</c:f>
            </c:numRef>
          </c:val>
          <c:extLst>
            <c:ext xmlns:c16="http://schemas.microsoft.com/office/drawing/2014/chart" uri="{C3380CC4-5D6E-409C-BE32-E72D297353CC}">
              <c16:uniqueId val="{00000005-4E90-434E-BFE7-B2D47CC589BF}"/>
            </c:ext>
          </c:extLst>
        </c:ser>
        <c:ser>
          <c:idx val="7"/>
          <c:order val="7"/>
          <c:tx>
            <c:strRef>
              <c:f>Sheet1!$A$149</c:f>
              <c:strCache>
                <c:ptCount val="1"/>
                <c:pt idx="0">
                  <c:v>Eswatini</c:v>
                </c:pt>
              </c:strCache>
            </c:strRef>
          </c:tx>
          <c:spPr>
            <a:solidFill>
              <a:schemeClr val="accent2">
                <a:lumMod val="60000"/>
              </a:schemeClr>
            </a:solidFill>
            <a:ln>
              <a:noFill/>
            </a:ln>
            <a:effectLst/>
            <a:sp3d/>
          </c:spPr>
          <c:invertIfNegative val="0"/>
          <c:cat>
            <c:strRef>
              <c:f>Sheet1!$B$141:$G$141</c:f>
              <c:strCache>
                <c:ptCount val="5"/>
                <c:pt idx="0">
                  <c:v>2020</c:v>
                </c:pt>
                <c:pt idx="1">
                  <c:v>2021</c:v>
                </c:pt>
                <c:pt idx="2">
                  <c:v>2022</c:v>
                </c:pt>
                <c:pt idx="3">
                  <c:v>2023p</c:v>
                </c:pt>
                <c:pt idx="4">
                  <c:v>2024p</c:v>
                </c:pt>
              </c:strCache>
            </c:strRef>
          </c:cat>
          <c:val>
            <c:numRef>
              <c:f>Sheet1!$B$149:$G$149</c:f>
            </c:numRef>
          </c:val>
          <c:extLst>
            <c:ext xmlns:c16="http://schemas.microsoft.com/office/drawing/2014/chart" uri="{C3380CC4-5D6E-409C-BE32-E72D297353CC}">
              <c16:uniqueId val="{00000006-4E90-434E-BFE7-B2D47CC589BF}"/>
            </c:ext>
          </c:extLst>
        </c:ser>
        <c:ser>
          <c:idx val="8"/>
          <c:order val="8"/>
          <c:tx>
            <c:strRef>
              <c:f>Sheet1!$A$150</c:f>
              <c:strCache>
                <c:ptCount val="1"/>
                <c:pt idx="0">
                  <c:v>Libya</c:v>
                </c:pt>
              </c:strCache>
            </c:strRef>
          </c:tx>
          <c:spPr>
            <a:solidFill>
              <a:schemeClr val="accent3">
                <a:lumMod val="60000"/>
              </a:schemeClr>
            </a:solidFill>
            <a:ln>
              <a:noFill/>
            </a:ln>
            <a:effectLst/>
            <a:sp3d/>
          </c:spPr>
          <c:invertIfNegative val="0"/>
          <c:cat>
            <c:strRef>
              <c:f>Sheet1!$B$141:$G$141</c:f>
              <c:strCache>
                <c:ptCount val="5"/>
                <c:pt idx="0">
                  <c:v>2020</c:v>
                </c:pt>
                <c:pt idx="1">
                  <c:v>2021</c:v>
                </c:pt>
                <c:pt idx="2">
                  <c:v>2022</c:v>
                </c:pt>
                <c:pt idx="3">
                  <c:v>2023p</c:v>
                </c:pt>
                <c:pt idx="4">
                  <c:v>2024p</c:v>
                </c:pt>
              </c:strCache>
            </c:strRef>
          </c:cat>
          <c:val>
            <c:numRef>
              <c:f>Sheet1!$B$150:$G$150</c:f>
            </c:numRef>
          </c:val>
          <c:extLst>
            <c:ext xmlns:c16="http://schemas.microsoft.com/office/drawing/2014/chart" uri="{C3380CC4-5D6E-409C-BE32-E72D297353CC}">
              <c16:uniqueId val="{00000007-4E90-434E-BFE7-B2D47CC589BF}"/>
            </c:ext>
          </c:extLst>
        </c:ser>
        <c:ser>
          <c:idx val="9"/>
          <c:order val="9"/>
          <c:tx>
            <c:strRef>
              <c:f>Sheet1!$A$151</c:f>
              <c:strCache>
                <c:ptCount val="1"/>
                <c:pt idx="0">
                  <c:v>Kenya</c:v>
                </c:pt>
              </c:strCache>
            </c:strRef>
          </c:tx>
          <c:spPr>
            <a:solidFill>
              <a:schemeClr val="accent4">
                <a:lumMod val="60000"/>
              </a:schemeClr>
            </a:solidFill>
            <a:ln>
              <a:noFill/>
            </a:ln>
            <a:effectLst/>
            <a:sp3d/>
          </c:spPr>
          <c:invertIfNegative val="0"/>
          <c:cat>
            <c:strRef>
              <c:f>Sheet1!$B$141:$G$141</c:f>
              <c:strCache>
                <c:ptCount val="5"/>
                <c:pt idx="0">
                  <c:v>2020</c:v>
                </c:pt>
                <c:pt idx="1">
                  <c:v>2021</c:v>
                </c:pt>
                <c:pt idx="2">
                  <c:v>2022</c:v>
                </c:pt>
                <c:pt idx="3">
                  <c:v>2023p</c:v>
                </c:pt>
                <c:pt idx="4">
                  <c:v>2024p</c:v>
                </c:pt>
              </c:strCache>
            </c:strRef>
          </c:cat>
          <c:val>
            <c:numRef>
              <c:f>Sheet1!$B$151:$G$151</c:f>
            </c:numRef>
          </c:val>
          <c:extLst>
            <c:ext xmlns:c16="http://schemas.microsoft.com/office/drawing/2014/chart" uri="{C3380CC4-5D6E-409C-BE32-E72D297353CC}">
              <c16:uniqueId val="{00000008-4E90-434E-BFE7-B2D47CC589BF}"/>
            </c:ext>
          </c:extLst>
        </c:ser>
        <c:ser>
          <c:idx val="10"/>
          <c:order val="10"/>
          <c:tx>
            <c:strRef>
              <c:f>Sheet1!$A$152</c:f>
              <c:strCache>
                <c:ptCount val="1"/>
                <c:pt idx="0">
                  <c:v>Madagascar</c:v>
                </c:pt>
              </c:strCache>
            </c:strRef>
          </c:tx>
          <c:spPr>
            <a:solidFill>
              <a:schemeClr val="accent5">
                <a:lumMod val="60000"/>
              </a:schemeClr>
            </a:solidFill>
            <a:ln>
              <a:noFill/>
            </a:ln>
            <a:effectLst/>
            <a:sp3d/>
          </c:spPr>
          <c:invertIfNegative val="0"/>
          <c:cat>
            <c:strRef>
              <c:f>Sheet1!$B$141:$G$141</c:f>
              <c:strCache>
                <c:ptCount val="5"/>
                <c:pt idx="0">
                  <c:v>2020</c:v>
                </c:pt>
                <c:pt idx="1">
                  <c:v>2021</c:v>
                </c:pt>
                <c:pt idx="2">
                  <c:v>2022</c:v>
                </c:pt>
                <c:pt idx="3">
                  <c:v>2023p</c:v>
                </c:pt>
                <c:pt idx="4">
                  <c:v>2024p</c:v>
                </c:pt>
              </c:strCache>
            </c:strRef>
          </c:cat>
          <c:val>
            <c:numRef>
              <c:f>Sheet1!$B$152:$G$152</c:f>
            </c:numRef>
          </c:val>
          <c:extLst>
            <c:ext xmlns:c16="http://schemas.microsoft.com/office/drawing/2014/chart" uri="{C3380CC4-5D6E-409C-BE32-E72D297353CC}">
              <c16:uniqueId val="{00000009-4E90-434E-BFE7-B2D47CC589BF}"/>
            </c:ext>
          </c:extLst>
        </c:ser>
        <c:ser>
          <c:idx val="11"/>
          <c:order val="11"/>
          <c:tx>
            <c:strRef>
              <c:f>Sheet1!$A$153</c:f>
              <c:strCache>
                <c:ptCount val="1"/>
                <c:pt idx="0">
                  <c:v>Malawi</c:v>
                </c:pt>
              </c:strCache>
            </c:strRef>
          </c:tx>
          <c:spPr>
            <a:solidFill>
              <a:schemeClr val="accent6">
                <a:lumMod val="60000"/>
              </a:schemeClr>
            </a:solidFill>
            <a:ln>
              <a:noFill/>
            </a:ln>
            <a:effectLst/>
            <a:sp3d/>
          </c:spPr>
          <c:invertIfNegative val="0"/>
          <c:cat>
            <c:strRef>
              <c:f>Sheet1!$B$141:$G$141</c:f>
              <c:strCache>
                <c:ptCount val="5"/>
                <c:pt idx="0">
                  <c:v>2020</c:v>
                </c:pt>
                <c:pt idx="1">
                  <c:v>2021</c:v>
                </c:pt>
                <c:pt idx="2">
                  <c:v>2022</c:v>
                </c:pt>
                <c:pt idx="3">
                  <c:v>2023p</c:v>
                </c:pt>
                <c:pt idx="4">
                  <c:v>2024p</c:v>
                </c:pt>
              </c:strCache>
            </c:strRef>
          </c:cat>
          <c:val>
            <c:numRef>
              <c:f>Sheet1!$B$153:$G$153</c:f>
            </c:numRef>
          </c:val>
          <c:extLst>
            <c:ext xmlns:c16="http://schemas.microsoft.com/office/drawing/2014/chart" uri="{C3380CC4-5D6E-409C-BE32-E72D297353CC}">
              <c16:uniqueId val="{0000000A-4E90-434E-BFE7-B2D47CC589BF}"/>
            </c:ext>
          </c:extLst>
        </c:ser>
        <c:ser>
          <c:idx val="12"/>
          <c:order val="12"/>
          <c:tx>
            <c:strRef>
              <c:f>Sheet1!$A$154</c:f>
              <c:strCache>
                <c:ptCount val="1"/>
                <c:pt idx="0">
                  <c:v>Mauritius</c:v>
                </c:pt>
              </c:strCache>
            </c:strRef>
          </c:tx>
          <c:spPr>
            <a:solidFill>
              <a:schemeClr val="accent1">
                <a:lumMod val="80000"/>
                <a:lumOff val="20000"/>
              </a:schemeClr>
            </a:solidFill>
            <a:ln>
              <a:noFill/>
            </a:ln>
            <a:effectLst/>
            <a:sp3d/>
          </c:spPr>
          <c:invertIfNegative val="0"/>
          <c:cat>
            <c:strRef>
              <c:f>Sheet1!$B$141:$G$141</c:f>
              <c:strCache>
                <c:ptCount val="5"/>
                <c:pt idx="0">
                  <c:v>2020</c:v>
                </c:pt>
                <c:pt idx="1">
                  <c:v>2021</c:v>
                </c:pt>
                <c:pt idx="2">
                  <c:v>2022</c:v>
                </c:pt>
                <c:pt idx="3">
                  <c:v>2023p</c:v>
                </c:pt>
                <c:pt idx="4">
                  <c:v>2024p</c:v>
                </c:pt>
              </c:strCache>
            </c:strRef>
          </c:cat>
          <c:val>
            <c:numRef>
              <c:f>Sheet1!$B$154:$G$154</c:f>
            </c:numRef>
          </c:val>
          <c:extLst>
            <c:ext xmlns:c16="http://schemas.microsoft.com/office/drawing/2014/chart" uri="{C3380CC4-5D6E-409C-BE32-E72D297353CC}">
              <c16:uniqueId val="{0000000B-4E90-434E-BFE7-B2D47CC589BF}"/>
            </c:ext>
          </c:extLst>
        </c:ser>
        <c:ser>
          <c:idx val="13"/>
          <c:order val="13"/>
          <c:tx>
            <c:strRef>
              <c:f>Sheet1!$A$155</c:f>
              <c:strCache>
                <c:ptCount val="1"/>
                <c:pt idx="0">
                  <c:v>Rwanda</c:v>
                </c:pt>
              </c:strCache>
            </c:strRef>
          </c:tx>
          <c:spPr>
            <a:solidFill>
              <a:schemeClr val="accent2">
                <a:lumMod val="80000"/>
                <a:lumOff val="20000"/>
              </a:schemeClr>
            </a:solidFill>
            <a:ln>
              <a:noFill/>
            </a:ln>
            <a:effectLst/>
            <a:sp3d/>
          </c:spPr>
          <c:invertIfNegative val="0"/>
          <c:cat>
            <c:strRef>
              <c:f>Sheet1!$B$141:$G$141</c:f>
              <c:strCache>
                <c:ptCount val="5"/>
                <c:pt idx="0">
                  <c:v>2020</c:v>
                </c:pt>
                <c:pt idx="1">
                  <c:v>2021</c:v>
                </c:pt>
                <c:pt idx="2">
                  <c:v>2022</c:v>
                </c:pt>
                <c:pt idx="3">
                  <c:v>2023p</c:v>
                </c:pt>
                <c:pt idx="4">
                  <c:v>2024p</c:v>
                </c:pt>
              </c:strCache>
            </c:strRef>
          </c:cat>
          <c:val>
            <c:numRef>
              <c:f>Sheet1!$B$155:$G$155</c:f>
            </c:numRef>
          </c:val>
          <c:extLst>
            <c:ext xmlns:c16="http://schemas.microsoft.com/office/drawing/2014/chart" uri="{C3380CC4-5D6E-409C-BE32-E72D297353CC}">
              <c16:uniqueId val="{0000000C-4E90-434E-BFE7-B2D47CC589BF}"/>
            </c:ext>
          </c:extLst>
        </c:ser>
        <c:ser>
          <c:idx val="14"/>
          <c:order val="14"/>
          <c:tx>
            <c:strRef>
              <c:f>Sheet1!$A$156</c:f>
              <c:strCache>
                <c:ptCount val="1"/>
                <c:pt idx="0">
                  <c:v>Seychelles</c:v>
                </c:pt>
              </c:strCache>
            </c:strRef>
          </c:tx>
          <c:spPr>
            <a:solidFill>
              <a:schemeClr val="accent3">
                <a:lumMod val="80000"/>
                <a:lumOff val="20000"/>
              </a:schemeClr>
            </a:solidFill>
            <a:ln>
              <a:noFill/>
            </a:ln>
            <a:effectLst/>
            <a:sp3d/>
          </c:spPr>
          <c:invertIfNegative val="0"/>
          <c:cat>
            <c:strRef>
              <c:f>Sheet1!$B$141:$G$141</c:f>
              <c:strCache>
                <c:ptCount val="5"/>
                <c:pt idx="0">
                  <c:v>2020</c:v>
                </c:pt>
                <c:pt idx="1">
                  <c:v>2021</c:v>
                </c:pt>
                <c:pt idx="2">
                  <c:v>2022</c:v>
                </c:pt>
                <c:pt idx="3">
                  <c:v>2023p</c:v>
                </c:pt>
                <c:pt idx="4">
                  <c:v>2024p</c:v>
                </c:pt>
              </c:strCache>
            </c:strRef>
          </c:cat>
          <c:val>
            <c:numRef>
              <c:f>Sheet1!$B$156:$G$156</c:f>
            </c:numRef>
          </c:val>
          <c:extLst>
            <c:ext xmlns:c16="http://schemas.microsoft.com/office/drawing/2014/chart" uri="{C3380CC4-5D6E-409C-BE32-E72D297353CC}">
              <c16:uniqueId val="{0000000D-4E90-434E-BFE7-B2D47CC589BF}"/>
            </c:ext>
          </c:extLst>
        </c:ser>
        <c:ser>
          <c:idx val="15"/>
          <c:order val="15"/>
          <c:tx>
            <c:strRef>
              <c:f>Sheet1!$A$157</c:f>
              <c:strCache>
                <c:ptCount val="1"/>
                <c:pt idx="0">
                  <c:v>Somalia</c:v>
                </c:pt>
              </c:strCache>
            </c:strRef>
          </c:tx>
          <c:spPr>
            <a:solidFill>
              <a:schemeClr val="accent4">
                <a:lumMod val="80000"/>
                <a:lumOff val="20000"/>
              </a:schemeClr>
            </a:solidFill>
            <a:ln>
              <a:noFill/>
            </a:ln>
            <a:effectLst/>
            <a:sp3d/>
          </c:spPr>
          <c:invertIfNegative val="0"/>
          <c:cat>
            <c:strRef>
              <c:f>Sheet1!$B$141:$G$141</c:f>
              <c:strCache>
                <c:ptCount val="5"/>
                <c:pt idx="0">
                  <c:v>2020</c:v>
                </c:pt>
                <c:pt idx="1">
                  <c:v>2021</c:v>
                </c:pt>
                <c:pt idx="2">
                  <c:v>2022</c:v>
                </c:pt>
                <c:pt idx="3">
                  <c:v>2023p</c:v>
                </c:pt>
                <c:pt idx="4">
                  <c:v>2024p</c:v>
                </c:pt>
              </c:strCache>
            </c:strRef>
          </c:cat>
          <c:val>
            <c:numRef>
              <c:f>Sheet1!$B$157:$G$157</c:f>
            </c:numRef>
          </c:val>
          <c:extLst>
            <c:ext xmlns:c16="http://schemas.microsoft.com/office/drawing/2014/chart" uri="{C3380CC4-5D6E-409C-BE32-E72D297353CC}">
              <c16:uniqueId val="{0000000E-4E90-434E-BFE7-B2D47CC589BF}"/>
            </c:ext>
          </c:extLst>
        </c:ser>
        <c:ser>
          <c:idx val="16"/>
          <c:order val="16"/>
          <c:tx>
            <c:strRef>
              <c:f>Sheet1!$A$158</c:f>
              <c:strCache>
                <c:ptCount val="1"/>
                <c:pt idx="0">
                  <c:v>Sudan</c:v>
                </c:pt>
              </c:strCache>
            </c:strRef>
          </c:tx>
          <c:spPr>
            <a:solidFill>
              <a:schemeClr val="accent5">
                <a:lumMod val="80000"/>
                <a:lumOff val="20000"/>
              </a:schemeClr>
            </a:solidFill>
            <a:ln>
              <a:noFill/>
            </a:ln>
            <a:effectLst/>
            <a:sp3d/>
          </c:spPr>
          <c:invertIfNegative val="0"/>
          <c:cat>
            <c:strRef>
              <c:f>Sheet1!$B$141:$G$141</c:f>
              <c:strCache>
                <c:ptCount val="5"/>
                <c:pt idx="0">
                  <c:v>2020</c:v>
                </c:pt>
                <c:pt idx="1">
                  <c:v>2021</c:v>
                </c:pt>
                <c:pt idx="2">
                  <c:v>2022</c:v>
                </c:pt>
                <c:pt idx="3">
                  <c:v>2023p</c:v>
                </c:pt>
                <c:pt idx="4">
                  <c:v>2024p</c:v>
                </c:pt>
              </c:strCache>
            </c:strRef>
          </c:cat>
          <c:val>
            <c:numRef>
              <c:f>Sheet1!$B$158:$G$158</c:f>
            </c:numRef>
          </c:val>
          <c:extLst>
            <c:ext xmlns:c16="http://schemas.microsoft.com/office/drawing/2014/chart" uri="{C3380CC4-5D6E-409C-BE32-E72D297353CC}">
              <c16:uniqueId val="{0000000F-4E90-434E-BFE7-B2D47CC589BF}"/>
            </c:ext>
          </c:extLst>
        </c:ser>
        <c:ser>
          <c:idx val="17"/>
          <c:order val="17"/>
          <c:tx>
            <c:strRef>
              <c:f>Sheet1!$A$159</c:f>
              <c:strCache>
                <c:ptCount val="1"/>
                <c:pt idx="0">
                  <c:v>Tunisia</c:v>
                </c:pt>
              </c:strCache>
            </c:strRef>
          </c:tx>
          <c:spPr>
            <a:solidFill>
              <a:schemeClr val="accent6">
                <a:lumMod val="80000"/>
                <a:lumOff val="20000"/>
              </a:schemeClr>
            </a:solidFill>
            <a:ln>
              <a:noFill/>
            </a:ln>
            <a:effectLst/>
            <a:sp3d/>
          </c:spPr>
          <c:invertIfNegative val="0"/>
          <c:cat>
            <c:strRef>
              <c:f>Sheet1!$B$141:$G$141</c:f>
              <c:strCache>
                <c:ptCount val="5"/>
                <c:pt idx="0">
                  <c:v>2020</c:v>
                </c:pt>
                <c:pt idx="1">
                  <c:v>2021</c:v>
                </c:pt>
                <c:pt idx="2">
                  <c:v>2022</c:v>
                </c:pt>
                <c:pt idx="3">
                  <c:v>2023p</c:v>
                </c:pt>
                <c:pt idx="4">
                  <c:v>2024p</c:v>
                </c:pt>
              </c:strCache>
            </c:strRef>
          </c:cat>
          <c:val>
            <c:numRef>
              <c:f>Sheet1!$B$159:$G$159</c:f>
            </c:numRef>
          </c:val>
          <c:extLst>
            <c:ext xmlns:c16="http://schemas.microsoft.com/office/drawing/2014/chart" uri="{C3380CC4-5D6E-409C-BE32-E72D297353CC}">
              <c16:uniqueId val="{00000010-4E90-434E-BFE7-B2D47CC589BF}"/>
            </c:ext>
          </c:extLst>
        </c:ser>
        <c:ser>
          <c:idx val="18"/>
          <c:order val="18"/>
          <c:tx>
            <c:strRef>
              <c:f>Sheet1!$A$160</c:f>
              <c:strCache>
                <c:ptCount val="1"/>
                <c:pt idx="0">
                  <c:v>Uganda</c:v>
                </c:pt>
              </c:strCache>
            </c:strRef>
          </c:tx>
          <c:spPr>
            <a:solidFill>
              <a:schemeClr val="accent1">
                <a:lumMod val="80000"/>
              </a:schemeClr>
            </a:solidFill>
            <a:ln>
              <a:noFill/>
            </a:ln>
            <a:effectLst/>
            <a:sp3d/>
          </c:spPr>
          <c:invertIfNegative val="0"/>
          <c:cat>
            <c:strRef>
              <c:f>Sheet1!$B$141:$G$141</c:f>
              <c:strCache>
                <c:ptCount val="5"/>
                <c:pt idx="0">
                  <c:v>2020</c:v>
                </c:pt>
                <c:pt idx="1">
                  <c:v>2021</c:v>
                </c:pt>
                <c:pt idx="2">
                  <c:v>2022</c:v>
                </c:pt>
                <c:pt idx="3">
                  <c:v>2023p</c:v>
                </c:pt>
                <c:pt idx="4">
                  <c:v>2024p</c:v>
                </c:pt>
              </c:strCache>
            </c:strRef>
          </c:cat>
          <c:val>
            <c:numRef>
              <c:f>Sheet1!$B$160:$G$160</c:f>
            </c:numRef>
          </c:val>
          <c:extLst>
            <c:ext xmlns:c16="http://schemas.microsoft.com/office/drawing/2014/chart" uri="{C3380CC4-5D6E-409C-BE32-E72D297353CC}">
              <c16:uniqueId val="{00000011-4E90-434E-BFE7-B2D47CC589BF}"/>
            </c:ext>
          </c:extLst>
        </c:ser>
        <c:ser>
          <c:idx val="19"/>
          <c:order val="19"/>
          <c:tx>
            <c:strRef>
              <c:f>Sheet1!$A$161</c:f>
              <c:strCache>
                <c:ptCount val="1"/>
                <c:pt idx="0">
                  <c:v>Zambia</c:v>
                </c:pt>
              </c:strCache>
            </c:strRef>
          </c:tx>
          <c:spPr>
            <a:solidFill>
              <a:schemeClr val="accent2">
                <a:lumMod val="80000"/>
              </a:schemeClr>
            </a:solidFill>
            <a:ln>
              <a:noFill/>
            </a:ln>
            <a:effectLst/>
            <a:sp3d/>
          </c:spPr>
          <c:invertIfNegative val="0"/>
          <c:cat>
            <c:strRef>
              <c:f>Sheet1!$B$141:$G$141</c:f>
              <c:strCache>
                <c:ptCount val="5"/>
                <c:pt idx="0">
                  <c:v>2020</c:v>
                </c:pt>
                <c:pt idx="1">
                  <c:v>2021</c:v>
                </c:pt>
                <c:pt idx="2">
                  <c:v>2022</c:v>
                </c:pt>
                <c:pt idx="3">
                  <c:v>2023p</c:v>
                </c:pt>
                <c:pt idx="4">
                  <c:v>2024p</c:v>
                </c:pt>
              </c:strCache>
            </c:strRef>
          </c:cat>
          <c:val>
            <c:numRef>
              <c:f>Sheet1!$B$161:$G$161</c:f>
            </c:numRef>
          </c:val>
          <c:extLst>
            <c:ext xmlns:c16="http://schemas.microsoft.com/office/drawing/2014/chart" uri="{C3380CC4-5D6E-409C-BE32-E72D297353CC}">
              <c16:uniqueId val="{00000012-4E90-434E-BFE7-B2D47CC589BF}"/>
            </c:ext>
          </c:extLst>
        </c:ser>
        <c:ser>
          <c:idx val="20"/>
          <c:order val="20"/>
          <c:tx>
            <c:strRef>
              <c:f>Sheet1!$A$162</c:f>
              <c:strCache>
                <c:ptCount val="1"/>
                <c:pt idx="0">
                  <c:v>Zimbabwe</c:v>
                </c:pt>
              </c:strCache>
            </c:strRef>
          </c:tx>
          <c:spPr>
            <a:solidFill>
              <a:schemeClr val="accent3">
                <a:lumMod val="80000"/>
              </a:schemeClr>
            </a:solidFill>
            <a:ln>
              <a:noFill/>
            </a:ln>
            <a:effectLst/>
            <a:sp3d/>
          </c:spPr>
          <c:invertIfNegative val="0"/>
          <c:cat>
            <c:strRef>
              <c:f>Sheet1!$B$141:$G$141</c:f>
              <c:strCache>
                <c:ptCount val="5"/>
                <c:pt idx="0">
                  <c:v>2020</c:v>
                </c:pt>
                <c:pt idx="1">
                  <c:v>2021</c:v>
                </c:pt>
                <c:pt idx="2">
                  <c:v>2022</c:v>
                </c:pt>
                <c:pt idx="3">
                  <c:v>2023p</c:v>
                </c:pt>
                <c:pt idx="4">
                  <c:v>2024p</c:v>
                </c:pt>
              </c:strCache>
            </c:strRef>
          </c:cat>
          <c:val>
            <c:numRef>
              <c:f>Sheet1!$B$162:$G$162</c:f>
            </c:numRef>
          </c:val>
          <c:extLst>
            <c:ext xmlns:c16="http://schemas.microsoft.com/office/drawing/2014/chart" uri="{C3380CC4-5D6E-409C-BE32-E72D297353CC}">
              <c16:uniqueId val="{00000013-4E90-434E-BFE7-B2D47CC589BF}"/>
            </c:ext>
          </c:extLst>
        </c:ser>
        <c:ser>
          <c:idx val="21"/>
          <c:order val="21"/>
          <c:tx>
            <c:strRef>
              <c:f>Sheet1!$A$163</c:f>
              <c:strCache>
                <c:ptCount val="1"/>
                <c:pt idx="0">
                  <c:v>COMESA </c:v>
                </c:pt>
              </c:strCache>
            </c:strRef>
          </c:tx>
          <c:spPr>
            <a:solidFill>
              <a:schemeClr val="accent4">
                <a:lumMod val="80000"/>
              </a:schemeClr>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Sheet1!$B$141:$G$141</c:f>
              <c:strCache>
                <c:ptCount val="5"/>
                <c:pt idx="0">
                  <c:v>2020</c:v>
                </c:pt>
                <c:pt idx="1">
                  <c:v>2021</c:v>
                </c:pt>
                <c:pt idx="2">
                  <c:v>2022</c:v>
                </c:pt>
                <c:pt idx="3">
                  <c:v>2023p</c:v>
                </c:pt>
                <c:pt idx="4">
                  <c:v>2024p</c:v>
                </c:pt>
              </c:strCache>
            </c:strRef>
          </c:cat>
          <c:val>
            <c:numRef>
              <c:f>Sheet1!$B$163:$G$163</c:f>
              <c:numCache>
                <c:formatCode>General</c:formatCode>
                <c:ptCount val="5"/>
                <c:pt idx="0">
                  <c:v>3.1</c:v>
                </c:pt>
                <c:pt idx="1">
                  <c:v>3.1</c:v>
                </c:pt>
                <c:pt idx="2">
                  <c:v>2.5</c:v>
                </c:pt>
                <c:pt idx="3">
                  <c:v>2.2000000000000002</c:v>
                </c:pt>
                <c:pt idx="4">
                  <c:v>2.4</c:v>
                </c:pt>
              </c:numCache>
            </c:numRef>
          </c:val>
          <c:extLst>
            <c:ext xmlns:c16="http://schemas.microsoft.com/office/drawing/2014/chart" uri="{C3380CC4-5D6E-409C-BE32-E72D297353CC}">
              <c16:uniqueId val="{00000014-4E90-434E-BFE7-B2D47CC589BF}"/>
            </c:ext>
          </c:extLst>
        </c:ser>
        <c:ser>
          <c:idx val="5"/>
          <c:order val="5"/>
          <c:tx>
            <c:strRef>
              <c:f>Sheet1!$A$147</c:f>
              <c:strCache>
                <c:ptCount val="1"/>
                <c:pt idx="0">
                  <c:v>Eritrea</c:v>
                </c:pt>
              </c:strCache>
            </c:strRef>
          </c:tx>
          <c:spPr>
            <a:solidFill>
              <a:schemeClr val="accent6"/>
            </a:solidFill>
            <a:ln>
              <a:noFill/>
            </a:ln>
            <a:effectLst/>
            <a:sp3d/>
          </c:spPr>
          <c:invertIfNegative val="0"/>
          <c:cat>
            <c:strRef>
              <c:f>Sheet1!$B$141:$G$141</c:f>
              <c:strCache>
                <c:ptCount val="5"/>
                <c:pt idx="0">
                  <c:v>2020</c:v>
                </c:pt>
                <c:pt idx="1">
                  <c:v>2021</c:v>
                </c:pt>
                <c:pt idx="2">
                  <c:v>2022</c:v>
                </c:pt>
                <c:pt idx="3">
                  <c:v>2023p</c:v>
                </c:pt>
                <c:pt idx="4">
                  <c:v>2024p</c:v>
                </c:pt>
              </c:strCache>
            </c:strRef>
          </c:cat>
          <c:val>
            <c:numRef>
              <c:f>Sheet1!$B$147:$G$147</c:f>
            </c:numRef>
          </c:val>
          <c:extLst>
            <c:ext xmlns:c16="http://schemas.microsoft.com/office/drawing/2014/chart" uri="{C3380CC4-5D6E-409C-BE32-E72D297353CC}">
              <c16:uniqueId val="{00000015-4E90-434E-BFE7-B2D47CC589BF}"/>
            </c:ext>
          </c:extLst>
        </c:ser>
        <c:dLbls>
          <c:showLegendKey val="0"/>
          <c:showVal val="0"/>
          <c:showCatName val="0"/>
          <c:showSerName val="0"/>
          <c:showPercent val="0"/>
          <c:showBubbleSize val="0"/>
        </c:dLbls>
        <c:gapWidth val="150"/>
        <c:shape val="box"/>
        <c:axId val="277256607"/>
        <c:axId val="277261183"/>
        <c:axId val="159017311"/>
      </c:bar3DChart>
      <c:catAx>
        <c:axId val="277256607"/>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77261183"/>
        <c:crosses val="autoZero"/>
        <c:auto val="1"/>
        <c:lblAlgn val="ctr"/>
        <c:lblOffset val="100"/>
        <c:noMultiLvlLbl val="0"/>
      </c:catAx>
      <c:valAx>
        <c:axId val="277261183"/>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77256607"/>
        <c:crosses val="autoZero"/>
        <c:crossBetween val="between"/>
      </c:valAx>
      <c:serAx>
        <c:axId val="159017311"/>
        <c:scaling>
          <c:orientation val="minMax"/>
        </c:scaling>
        <c:delete val="1"/>
        <c:axPos val="b"/>
        <c:majorTickMark val="none"/>
        <c:minorTickMark val="none"/>
        <c:tickLblPos val="nextTo"/>
        <c:crossAx val="277261183"/>
        <c:crosses val="autoZero"/>
      </c:ser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withinLinear" id="14">
  <a:schemeClr val="accent1"/>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89">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4">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a:effectLst/>
    </cs:defRPr>
  </cs:categoryAxis>
  <cs:chartArea>
    <cs:lnRef idx="0"/>
    <cs:fillRef idx="0"/>
    <cs:effectRef idx="0"/>
    <cs:fontRef idx="minor">
      <a:schemeClr val="dk1"/>
    </cs:fontRef>
    <cs:spPr>
      <a:gradFill flip="none" rotWithShape="1">
        <a:gsLst>
          <a:gs pos="0">
            <a:schemeClr val="lt1"/>
          </a:gs>
          <a:gs pos="68000">
            <a:schemeClr val="lt1">
              <a:lumMod val="85000"/>
            </a:schemeClr>
          </a:gs>
          <a:gs pos="100000">
            <a:schemeClr val="lt1"/>
          </a:gs>
        </a:gsLst>
        <a:lin ang="5400000" scaled="1"/>
        <a:tileRect/>
      </a:gradFill>
      <a:ln w="9525" cap="flat" cmpd="sng" algn="ctr">
        <a:solidFill>
          <a:schemeClr val="dk1">
            <a:lumMod val="15000"/>
            <a:lumOff val="85000"/>
          </a:schemeClr>
        </a:solidFill>
        <a:round/>
      </a:ln>
    </cs:spPr>
    <cs:defRPr sz="1000" kern="1200"/>
  </cs:chartArea>
  <cs:dataLabel>
    <cs:lnRef idx="0"/>
    <cs:fillRef idx="0"/>
    <cs:effectRef idx="0"/>
    <cs:fontRef idx="minor">
      <a:schemeClr val="lt1"/>
    </cs:fontRef>
    <cs:spPr/>
    <cs:defRPr sz="10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10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
  <cs:dataPoint3D>
    <cs:lnRef idx="0"/>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3D>
  <cs:dataPointLine>
    <cs:lnRef idx="0">
      <cs:styleClr val="auto"/>
    </cs:lnRef>
    <cs:fillRef idx="0"/>
    <cs:effectRef idx="0"/>
    <cs:fontRef idx="minor">
      <a:schemeClr val="dk1"/>
    </cs:fontRef>
    <cs:spPr>
      <a:ln w="28575" cap="rnd">
        <a:gradFill>
          <a:gsLst>
            <a:gs pos="0">
              <a:schemeClr val="phClr"/>
            </a:gs>
            <a:gs pos="100000">
              <a:schemeClr val="phClr">
                <a:lumMod val="84000"/>
              </a:schemeClr>
            </a:gs>
          </a:gsLst>
          <a:lin ang="5400000" scaled="1"/>
        </a:gradFill>
        <a:round/>
      </a:ln>
    </cs:spPr>
  </cs:dataPointLine>
  <cs:dataPointMarker>
    <cs:lnRef idx="0"/>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35000"/>
          <a:lumOff val="65000"/>
        </a:schemeClr>
      </a:solidFill>
      <a:ln w="9525">
        <a:solidFill>
          <a:schemeClr val="dk1">
            <a:lumMod val="50000"/>
            <a:lumOff val="50000"/>
          </a:schemeClr>
        </a:solidFill>
      </a:ln>
    </cs:spPr>
  </cs:downBar>
  <cs:dropLine>
    <cs:lnRef idx="0"/>
    <cs:fillRef idx="0"/>
    <cs:effectRef idx="0"/>
    <cs:fontRef idx="minor">
      <a:schemeClr val="dk1"/>
    </cs:fontRef>
    <cs:spPr>
      <a:ln w="9525">
        <a:solidFill>
          <a:schemeClr val="dk1">
            <a:lumMod val="50000"/>
            <a:lumOff val="50000"/>
          </a:schemeClr>
        </a:solidFill>
        <a:round/>
      </a:ln>
    </cs:spPr>
  </cs:dropLine>
  <cs:errorBar>
    <cs:lnRef idx="0"/>
    <cs:fillRef idx="0"/>
    <cs:effectRef idx="0"/>
    <cs:fontRef idx="minor">
      <a:schemeClr val="dk1"/>
    </cs:fontRef>
    <cs:spPr>
      <a:ln w="9525">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50000"/>
            <a:lumOff val="50000"/>
          </a:schemeClr>
        </a:solidFill>
        <a:round/>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65000"/>
        <a:lumOff val="35000"/>
      </a:schemeClr>
    </cs:fontRef>
    <cs:defRPr kern="1200">
      <a:effectLst/>
    </cs:defRPr>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lumMod val="95000"/>
        </a:schemeClr>
      </a:solidFill>
      <a:ln w="9525">
        <a:solidFill>
          <a:schemeClr val="dk1">
            <a:lumMod val="15000"/>
            <a:lumOff val="85000"/>
          </a:schemeClr>
        </a:solidFill>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6.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283D22-65D1-4D07-9D14-A23DC1334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850</TotalTime>
  <Pages>11</Pages>
  <Words>3411</Words>
  <Characters>19448</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22814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CMI5</dc:creator>
  <cp:keywords/>
  <dc:description/>
  <cp:lastModifiedBy>Dr. Thomas Bwire</cp:lastModifiedBy>
  <cp:revision>1</cp:revision>
  <cp:lastPrinted>2023-05-06T09:30:00Z</cp:lastPrinted>
  <dcterms:created xsi:type="dcterms:W3CDTF">2023-05-17T14:09:00Z</dcterms:created>
  <dcterms:modified xsi:type="dcterms:W3CDTF">2023-07-13T05:22:00Z</dcterms:modified>
</cp:coreProperties>
</file>